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E2" w:rsidRDefault="008C0AE2" w:rsidP="008F2E95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4D21A9" w:rsidP="008F2E9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</w:t>
      </w:r>
      <w:r w:rsidR="008F2E95">
        <w:rPr>
          <w:b/>
          <w:sz w:val="28"/>
          <w:szCs w:val="28"/>
        </w:rPr>
        <w:t xml:space="preserve"> ЗАПИСКА </w:t>
      </w:r>
    </w:p>
    <w:p w:rsidR="008F2E95" w:rsidRDefault="001C0FE6" w:rsidP="00E03688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управления администрации Андроповского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ного </w:t>
      </w:r>
      <w:r w:rsidR="00CC3563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Ставропольского края </w:t>
      </w:r>
      <w:r w:rsidR="008F2E95">
        <w:rPr>
          <w:b/>
          <w:sz w:val="28"/>
          <w:szCs w:val="28"/>
        </w:rPr>
        <w:t>к о</w:t>
      </w:r>
      <w:r w:rsidR="008F2E95" w:rsidRPr="008F2E95">
        <w:rPr>
          <w:b/>
          <w:sz w:val="28"/>
          <w:szCs w:val="28"/>
        </w:rPr>
        <w:t>тчет</w:t>
      </w:r>
      <w:r w:rsidR="008F2E95">
        <w:rPr>
          <w:b/>
          <w:sz w:val="28"/>
          <w:szCs w:val="28"/>
        </w:rPr>
        <w:t xml:space="preserve">у </w:t>
      </w:r>
      <w:r w:rsidR="008F2E95" w:rsidRPr="008F2E95">
        <w:rPr>
          <w:b/>
          <w:sz w:val="28"/>
          <w:szCs w:val="28"/>
        </w:rPr>
        <w:t xml:space="preserve">о результатах мониторинга качества финансового менеджмента </w:t>
      </w:r>
      <w:r w:rsidR="0073163F" w:rsidRPr="0073163F">
        <w:rPr>
          <w:b/>
          <w:sz w:val="28"/>
          <w:szCs w:val="28"/>
        </w:rPr>
        <w:t>за 1 полугодие 202</w:t>
      </w:r>
      <w:r w:rsidR="0073163F">
        <w:rPr>
          <w:b/>
          <w:sz w:val="28"/>
          <w:szCs w:val="28"/>
        </w:rPr>
        <w:t>2</w:t>
      </w:r>
      <w:r w:rsidR="0073163F" w:rsidRPr="0073163F">
        <w:rPr>
          <w:b/>
          <w:sz w:val="28"/>
          <w:szCs w:val="28"/>
        </w:rPr>
        <w:t xml:space="preserve"> года</w:t>
      </w: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AB7583" w:rsidRDefault="00DC00DE" w:rsidP="001C0FE6">
      <w:pPr>
        <w:widowControl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C0FE6" w:rsidRPr="001C0FE6">
        <w:rPr>
          <w:sz w:val="28"/>
          <w:szCs w:val="28"/>
        </w:rPr>
        <w:t>Мониторинг качества финансового менеджмента,</w:t>
      </w:r>
      <w:r w:rsidR="00186527" w:rsidRPr="004D5C95">
        <w:rPr>
          <w:sz w:val="28"/>
          <w:szCs w:val="28"/>
        </w:rPr>
        <w:t xml:space="preserve"> </w:t>
      </w:r>
      <w:r w:rsidR="00186527" w:rsidRPr="000E0F67">
        <w:rPr>
          <w:sz w:val="28"/>
          <w:szCs w:val="28"/>
        </w:rPr>
        <w:t>в отношении главных распорядителей средств бюджета Андроповского муниципального округа Ставропольского края, главных администраторов доходов бюджета Андр</w:t>
      </w:r>
      <w:r w:rsidR="00186527" w:rsidRPr="000E0F67">
        <w:rPr>
          <w:sz w:val="28"/>
          <w:szCs w:val="28"/>
        </w:rPr>
        <w:t>о</w:t>
      </w:r>
      <w:r w:rsidR="00186527" w:rsidRPr="000E0F67">
        <w:rPr>
          <w:sz w:val="28"/>
          <w:szCs w:val="28"/>
        </w:rPr>
        <w:t>повского муниципального округа Ставропольского края, главных админ</w:t>
      </w:r>
      <w:r w:rsidR="00186527" w:rsidRPr="000E0F67">
        <w:rPr>
          <w:sz w:val="28"/>
          <w:szCs w:val="28"/>
        </w:rPr>
        <w:t>и</w:t>
      </w:r>
      <w:r w:rsidR="00186527" w:rsidRPr="000E0F67">
        <w:rPr>
          <w:sz w:val="28"/>
          <w:szCs w:val="28"/>
        </w:rPr>
        <w:t xml:space="preserve">страторов источников финансирования дефицита бюджета Андроповского муниципального округа Ставропольского края </w:t>
      </w:r>
      <w:r w:rsidR="00186527">
        <w:rPr>
          <w:sz w:val="28"/>
          <w:szCs w:val="28"/>
        </w:rPr>
        <w:t>(далее соответственно – мон</w:t>
      </w:r>
      <w:r w:rsidR="00186527">
        <w:rPr>
          <w:sz w:val="28"/>
          <w:szCs w:val="28"/>
        </w:rPr>
        <w:t>и</w:t>
      </w:r>
      <w:r w:rsidR="00186527">
        <w:rPr>
          <w:sz w:val="28"/>
          <w:szCs w:val="28"/>
        </w:rPr>
        <w:t>торинг, главные администраторы</w:t>
      </w:r>
      <w:r w:rsidR="00A27426">
        <w:rPr>
          <w:sz w:val="28"/>
          <w:szCs w:val="28"/>
        </w:rPr>
        <w:t xml:space="preserve"> </w:t>
      </w:r>
      <w:r w:rsidR="00A27426" w:rsidRPr="00174029">
        <w:rPr>
          <w:sz w:val="28"/>
          <w:szCs w:val="28"/>
        </w:rPr>
        <w:t>бюджетных средств</w:t>
      </w:r>
      <w:r w:rsidR="00186527">
        <w:rPr>
          <w:sz w:val="28"/>
          <w:szCs w:val="28"/>
        </w:rPr>
        <w:t>)</w:t>
      </w:r>
      <w:r w:rsidR="00C0056D">
        <w:rPr>
          <w:sz w:val="28"/>
          <w:szCs w:val="28"/>
        </w:rPr>
        <w:t xml:space="preserve">, </w:t>
      </w:r>
      <w:r w:rsidR="001C0FE6" w:rsidRPr="001C0FE6">
        <w:rPr>
          <w:sz w:val="28"/>
          <w:szCs w:val="28"/>
        </w:rPr>
        <w:t>проводился в соо</w:t>
      </w:r>
      <w:r w:rsidR="001C0FE6" w:rsidRPr="001C0FE6">
        <w:rPr>
          <w:sz w:val="28"/>
          <w:szCs w:val="28"/>
        </w:rPr>
        <w:t>т</w:t>
      </w:r>
      <w:r w:rsidR="001C0FE6" w:rsidRPr="001C0FE6">
        <w:rPr>
          <w:sz w:val="28"/>
          <w:szCs w:val="28"/>
        </w:rPr>
        <w:t xml:space="preserve">ветствии с </w:t>
      </w:r>
      <w:r w:rsidR="00D770B0">
        <w:rPr>
          <w:sz w:val="28"/>
          <w:szCs w:val="28"/>
        </w:rPr>
        <w:t xml:space="preserve">Порядком </w:t>
      </w:r>
      <w:r w:rsidR="00414E18" w:rsidRPr="00414E18">
        <w:rPr>
          <w:sz w:val="28"/>
          <w:szCs w:val="28"/>
        </w:rPr>
        <w:t>проведения Финансовым управлением администрации Андроповского муниципального округа Ставропольского края мониторинга качества финансового менеджмента</w:t>
      </w:r>
      <w:proofErr w:type="gramEnd"/>
      <w:r w:rsidR="00D770B0">
        <w:rPr>
          <w:sz w:val="28"/>
          <w:szCs w:val="28"/>
        </w:rPr>
        <w:t>, утвержденным</w:t>
      </w:r>
      <w:r w:rsidR="00D770B0" w:rsidRPr="00D770B0">
        <w:rPr>
          <w:sz w:val="28"/>
          <w:szCs w:val="28"/>
        </w:rPr>
        <w:t xml:space="preserve"> </w:t>
      </w:r>
      <w:r w:rsidR="003047EB">
        <w:rPr>
          <w:sz w:val="28"/>
          <w:szCs w:val="28"/>
        </w:rPr>
        <w:t>приказом Финансового управления администрации</w:t>
      </w:r>
      <w:r w:rsidR="00C0056D">
        <w:rPr>
          <w:sz w:val="28"/>
          <w:szCs w:val="28"/>
        </w:rPr>
        <w:t xml:space="preserve"> Андроповского муниципального </w:t>
      </w:r>
      <w:r w:rsidR="00E30C84">
        <w:rPr>
          <w:sz w:val="28"/>
          <w:szCs w:val="28"/>
        </w:rPr>
        <w:t>округа</w:t>
      </w:r>
      <w:r w:rsidR="00C0056D">
        <w:rPr>
          <w:sz w:val="28"/>
          <w:szCs w:val="28"/>
        </w:rPr>
        <w:t xml:space="preserve"> Ставр</w:t>
      </w:r>
      <w:r w:rsidR="00C0056D">
        <w:rPr>
          <w:sz w:val="28"/>
          <w:szCs w:val="28"/>
        </w:rPr>
        <w:t>о</w:t>
      </w:r>
      <w:r w:rsidR="00C0056D">
        <w:rPr>
          <w:sz w:val="28"/>
          <w:szCs w:val="28"/>
        </w:rPr>
        <w:t xml:space="preserve">польского края от </w:t>
      </w:r>
      <w:r w:rsidR="00414E18">
        <w:rPr>
          <w:sz w:val="28"/>
          <w:szCs w:val="28"/>
        </w:rPr>
        <w:t>11</w:t>
      </w:r>
      <w:r w:rsidR="003047EB">
        <w:rPr>
          <w:sz w:val="28"/>
          <w:szCs w:val="28"/>
        </w:rPr>
        <w:t xml:space="preserve"> </w:t>
      </w:r>
      <w:r w:rsidR="00414E18">
        <w:rPr>
          <w:sz w:val="28"/>
          <w:szCs w:val="28"/>
        </w:rPr>
        <w:t>марта 2022</w:t>
      </w:r>
      <w:r w:rsidR="003047EB">
        <w:rPr>
          <w:sz w:val="28"/>
          <w:szCs w:val="28"/>
        </w:rPr>
        <w:t xml:space="preserve"> года</w:t>
      </w:r>
      <w:r w:rsidR="00C0056D">
        <w:rPr>
          <w:sz w:val="28"/>
          <w:szCs w:val="28"/>
        </w:rPr>
        <w:t xml:space="preserve"> № </w:t>
      </w:r>
      <w:r w:rsidR="00414E18">
        <w:rPr>
          <w:sz w:val="28"/>
          <w:szCs w:val="28"/>
        </w:rPr>
        <w:t>50</w:t>
      </w:r>
      <w:r w:rsidR="00AB7583">
        <w:rPr>
          <w:sz w:val="28"/>
          <w:szCs w:val="28"/>
        </w:rPr>
        <w:t>.</w:t>
      </w:r>
    </w:p>
    <w:p w:rsidR="008D1E03" w:rsidRPr="000C75B6" w:rsidRDefault="00AF7007" w:rsidP="000C75B6">
      <w:pPr>
        <w:ind w:firstLine="709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Оценка</w:t>
      </w:r>
      <w:r w:rsidR="00911845" w:rsidRPr="000C75B6">
        <w:rPr>
          <w:sz w:val="28"/>
          <w:szCs w:val="28"/>
        </w:rPr>
        <w:t xml:space="preserve"> </w:t>
      </w:r>
      <w:r w:rsidR="00C0056D" w:rsidRPr="000C75B6">
        <w:rPr>
          <w:sz w:val="28"/>
          <w:szCs w:val="28"/>
        </w:rPr>
        <w:t>качества финансового менеджмента</w:t>
      </w:r>
      <w:r w:rsidR="00465081" w:rsidRPr="000C75B6">
        <w:rPr>
          <w:sz w:val="28"/>
          <w:szCs w:val="28"/>
        </w:rPr>
        <w:t xml:space="preserve"> за </w:t>
      </w:r>
      <w:r w:rsidR="0073163F" w:rsidRPr="000C75B6">
        <w:rPr>
          <w:sz w:val="28"/>
          <w:szCs w:val="28"/>
        </w:rPr>
        <w:t xml:space="preserve">1 полугодие </w:t>
      </w:r>
      <w:r w:rsidR="00465081" w:rsidRPr="000C75B6">
        <w:rPr>
          <w:sz w:val="28"/>
          <w:szCs w:val="28"/>
        </w:rPr>
        <w:t>20</w:t>
      </w:r>
      <w:r w:rsidR="00CC3563" w:rsidRPr="000C75B6">
        <w:rPr>
          <w:sz w:val="28"/>
          <w:szCs w:val="28"/>
        </w:rPr>
        <w:t>2</w:t>
      </w:r>
      <w:r w:rsidR="0073163F" w:rsidRPr="000C75B6">
        <w:rPr>
          <w:sz w:val="28"/>
          <w:szCs w:val="28"/>
        </w:rPr>
        <w:t>2</w:t>
      </w:r>
      <w:r w:rsidR="003047EB" w:rsidRPr="000C75B6">
        <w:rPr>
          <w:sz w:val="28"/>
          <w:szCs w:val="28"/>
        </w:rPr>
        <w:t xml:space="preserve"> год</w:t>
      </w:r>
      <w:r w:rsidR="00C0056D" w:rsidRPr="000C75B6">
        <w:rPr>
          <w:sz w:val="28"/>
          <w:szCs w:val="28"/>
        </w:rPr>
        <w:t xml:space="preserve"> </w:t>
      </w:r>
      <w:r w:rsidR="00164728" w:rsidRPr="000C75B6">
        <w:rPr>
          <w:sz w:val="28"/>
          <w:szCs w:val="28"/>
        </w:rPr>
        <w:t>проведен</w:t>
      </w:r>
      <w:r w:rsidRPr="000C75B6">
        <w:rPr>
          <w:sz w:val="28"/>
          <w:szCs w:val="28"/>
        </w:rPr>
        <w:t>а</w:t>
      </w:r>
      <w:r w:rsidR="00164728" w:rsidRPr="000C75B6">
        <w:rPr>
          <w:sz w:val="28"/>
          <w:szCs w:val="28"/>
        </w:rPr>
        <w:t xml:space="preserve"> среди</w:t>
      </w:r>
      <w:r w:rsidR="00C0056D" w:rsidRPr="000C75B6">
        <w:rPr>
          <w:sz w:val="28"/>
          <w:szCs w:val="28"/>
        </w:rPr>
        <w:t xml:space="preserve"> </w:t>
      </w:r>
      <w:r w:rsidR="00462E68" w:rsidRPr="000C75B6">
        <w:rPr>
          <w:sz w:val="28"/>
          <w:szCs w:val="28"/>
        </w:rPr>
        <w:t>20 главных администраторов средств бюджета</w:t>
      </w:r>
      <w:r w:rsidRPr="000C75B6">
        <w:rPr>
          <w:sz w:val="28"/>
          <w:szCs w:val="28"/>
        </w:rPr>
        <w:t xml:space="preserve"> по 3 напра</w:t>
      </w:r>
      <w:r w:rsidRPr="000C75B6">
        <w:rPr>
          <w:sz w:val="28"/>
          <w:szCs w:val="28"/>
        </w:rPr>
        <w:t>в</w:t>
      </w:r>
      <w:r w:rsidRPr="000C75B6">
        <w:rPr>
          <w:sz w:val="28"/>
          <w:szCs w:val="28"/>
        </w:rPr>
        <w:t>лениям квартальных показателей</w:t>
      </w:r>
      <w:r w:rsidR="008D1E03" w:rsidRPr="000C75B6">
        <w:rPr>
          <w:sz w:val="28"/>
          <w:szCs w:val="28"/>
        </w:rPr>
        <w:t>:</w:t>
      </w:r>
    </w:p>
    <w:p w:rsidR="00414E18" w:rsidRPr="000C75B6" w:rsidRDefault="00414E18" w:rsidP="00414E18">
      <w:pPr>
        <w:ind w:firstLine="709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1) качеств</w:t>
      </w:r>
      <w:r w:rsidR="002F567E">
        <w:rPr>
          <w:sz w:val="28"/>
          <w:szCs w:val="28"/>
        </w:rPr>
        <w:t>о управления расходами бюджета</w:t>
      </w:r>
      <w:r w:rsidRPr="000C75B6">
        <w:rPr>
          <w:sz w:val="28"/>
          <w:szCs w:val="28"/>
        </w:rPr>
        <w:t>;</w:t>
      </w:r>
    </w:p>
    <w:p w:rsidR="00414E18" w:rsidRPr="000C75B6" w:rsidRDefault="00414E18" w:rsidP="00414E18">
      <w:pPr>
        <w:ind w:firstLine="709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2) качес</w:t>
      </w:r>
      <w:r w:rsidR="002F567E">
        <w:rPr>
          <w:sz w:val="28"/>
          <w:szCs w:val="28"/>
        </w:rPr>
        <w:t>тво управления доходами бюджета</w:t>
      </w:r>
      <w:r w:rsidRPr="000C75B6">
        <w:rPr>
          <w:sz w:val="28"/>
          <w:szCs w:val="28"/>
        </w:rPr>
        <w:t>;</w:t>
      </w:r>
    </w:p>
    <w:p w:rsidR="00414E18" w:rsidRDefault="00414E18" w:rsidP="00414E18">
      <w:pPr>
        <w:ind w:firstLine="709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3) качество ведения учета и составления</w:t>
      </w:r>
      <w:r w:rsidR="00AF7007" w:rsidRPr="000C75B6">
        <w:rPr>
          <w:sz w:val="28"/>
          <w:szCs w:val="28"/>
        </w:rPr>
        <w:t xml:space="preserve"> бюджетной отчетности</w:t>
      </w:r>
      <w:r w:rsidR="00AF7007" w:rsidRPr="00C94F5C">
        <w:rPr>
          <w:sz w:val="28"/>
          <w:szCs w:val="28"/>
        </w:rPr>
        <w:t>.</w:t>
      </w:r>
    </w:p>
    <w:p w:rsidR="00951733" w:rsidRPr="004D5C95" w:rsidRDefault="00951733" w:rsidP="002A0009">
      <w:pPr>
        <w:ind w:firstLine="709"/>
        <w:jc w:val="both"/>
        <w:rPr>
          <w:sz w:val="28"/>
          <w:szCs w:val="28"/>
        </w:rPr>
      </w:pPr>
      <w:r w:rsidRPr="004D5C95">
        <w:rPr>
          <w:sz w:val="28"/>
          <w:szCs w:val="28"/>
        </w:rPr>
        <w:t>Мониторинг ка</w:t>
      </w:r>
      <w:r w:rsidR="00D16464">
        <w:rPr>
          <w:sz w:val="28"/>
          <w:szCs w:val="28"/>
        </w:rPr>
        <w:t xml:space="preserve">чества финансового менеджмента </w:t>
      </w:r>
      <w:r w:rsidRPr="004D5C95">
        <w:rPr>
          <w:sz w:val="28"/>
          <w:szCs w:val="28"/>
        </w:rPr>
        <w:t>пров</w:t>
      </w:r>
      <w:r w:rsidR="007D10A5">
        <w:rPr>
          <w:sz w:val="28"/>
          <w:szCs w:val="28"/>
        </w:rPr>
        <w:t>еден</w:t>
      </w:r>
      <w:r w:rsidRPr="004D5C95">
        <w:rPr>
          <w:sz w:val="28"/>
          <w:szCs w:val="28"/>
        </w:rPr>
        <w:t xml:space="preserve"> </w:t>
      </w:r>
      <w:r w:rsidR="00174A0A">
        <w:rPr>
          <w:sz w:val="28"/>
          <w:szCs w:val="28"/>
        </w:rPr>
        <w:t>отделом планирования и исполнения</w:t>
      </w:r>
      <w:r w:rsidR="00AB4091">
        <w:rPr>
          <w:sz w:val="28"/>
          <w:szCs w:val="28"/>
        </w:rPr>
        <w:t xml:space="preserve"> </w:t>
      </w:r>
      <w:r w:rsidR="00AF1445">
        <w:rPr>
          <w:sz w:val="28"/>
          <w:szCs w:val="28"/>
        </w:rPr>
        <w:t xml:space="preserve">бюджета </w:t>
      </w:r>
      <w:r w:rsidR="00EC061E">
        <w:rPr>
          <w:sz w:val="28"/>
          <w:szCs w:val="28"/>
        </w:rPr>
        <w:t>Ф</w:t>
      </w:r>
      <w:r w:rsidR="000A7340">
        <w:rPr>
          <w:sz w:val="28"/>
          <w:szCs w:val="28"/>
        </w:rPr>
        <w:t xml:space="preserve">инансового управления </w:t>
      </w:r>
      <w:r w:rsidRPr="004D5C95">
        <w:rPr>
          <w:sz w:val="28"/>
          <w:szCs w:val="28"/>
        </w:rPr>
        <w:t xml:space="preserve">на основании данных бюджетной отчетности </w:t>
      </w:r>
      <w:r w:rsidR="00AF69E9">
        <w:rPr>
          <w:sz w:val="28"/>
          <w:szCs w:val="28"/>
        </w:rPr>
        <w:t xml:space="preserve">главных </w:t>
      </w:r>
      <w:r w:rsidR="000E0F67">
        <w:rPr>
          <w:sz w:val="28"/>
          <w:szCs w:val="28"/>
        </w:rPr>
        <w:t>администраторов</w:t>
      </w:r>
      <w:r w:rsidR="00AF69E9">
        <w:rPr>
          <w:sz w:val="28"/>
          <w:szCs w:val="28"/>
        </w:rPr>
        <w:t xml:space="preserve"> </w:t>
      </w:r>
      <w:r w:rsidR="00A27426" w:rsidRPr="00174029">
        <w:rPr>
          <w:sz w:val="28"/>
          <w:szCs w:val="28"/>
        </w:rPr>
        <w:t>бюджетных средств</w:t>
      </w:r>
      <w:r w:rsidR="00A27426" w:rsidRPr="004D5C95">
        <w:rPr>
          <w:sz w:val="28"/>
          <w:szCs w:val="28"/>
        </w:rPr>
        <w:t xml:space="preserve"> </w:t>
      </w:r>
      <w:r w:rsidRPr="004D5C95">
        <w:rPr>
          <w:sz w:val="28"/>
          <w:szCs w:val="28"/>
        </w:rPr>
        <w:t xml:space="preserve">за </w:t>
      </w:r>
      <w:r w:rsidR="0073163F">
        <w:rPr>
          <w:sz w:val="28"/>
          <w:szCs w:val="28"/>
        </w:rPr>
        <w:t xml:space="preserve">1 полугодие </w:t>
      </w:r>
      <w:r w:rsidRPr="004D5C95">
        <w:rPr>
          <w:sz w:val="28"/>
          <w:szCs w:val="28"/>
        </w:rPr>
        <w:t>20</w:t>
      </w:r>
      <w:r w:rsidR="00CC3563">
        <w:rPr>
          <w:sz w:val="28"/>
          <w:szCs w:val="28"/>
        </w:rPr>
        <w:t>2</w:t>
      </w:r>
      <w:r w:rsidR="0073163F">
        <w:rPr>
          <w:sz w:val="28"/>
          <w:szCs w:val="28"/>
        </w:rPr>
        <w:t>2</w:t>
      </w:r>
      <w:r w:rsidRPr="004D5C95">
        <w:rPr>
          <w:sz w:val="28"/>
          <w:szCs w:val="28"/>
        </w:rPr>
        <w:t xml:space="preserve"> год</w:t>
      </w:r>
      <w:r w:rsidR="0073163F">
        <w:rPr>
          <w:sz w:val="28"/>
          <w:szCs w:val="28"/>
        </w:rPr>
        <w:t>а</w:t>
      </w:r>
      <w:r w:rsidRPr="004D5C95">
        <w:rPr>
          <w:sz w:val="28"/>
          <w:szCs w:val="28"/>
        </w:rPr>
        <w:t>, матери</w:t>
      </w:r>
      <w:r w:rsidR="00AB7583">
        <w:rPr>
          <w:sz w:val="28"/>
          <w:szCs w:val="28"/>
        </w:rPr>
        <w:t>алов, имеющих</w:t>
      </w:r>
      <w:r w:rsidR="00EC061E">
        <w:rPr>
          <w:sz w:val="28"/>
          <w:szCs w:val="28"/>
        </w:rPr>
        <w:t>ся в распоряжении Ф</w:t>
      </w:r>
      <w:r w:rsidR="00AB7583">
        <w:rPr>
          <w:sz w:val="28"/>
          <w:szCs w:val="28"/>
        </w:rPr>
        <w:t>инансового управления</w:t>
      </w:r>
      <w:r w:rsidR="00AF69E9">
        <w:rPr>
          <w:sz w:val="28"/>
          <w:szCs w:val="28"/>
        </w:rPr>
        <w:t>,</w:t>
      </w:r>
      <w:r w:rsidR="00AF69E9" w:rsidRPr="00AF69E9">
        <w:rPr>
          <w:sz w:val="28"/>
          <w:szCs w:val="28"/>
        </w:rPr>
        <w:t xml:space="preserve"> </w:t>
      </w:r>
      <w:r w:rsidR="00AF69E9" w:rsidRPr="004D5C95">
        <w:rPr>
          <w:sz w:val="28"/>
          <w:szCs w:val="28"/>
        </w:rPr>
        <w:t>а также</w:t>
      </w:r>
      <w:r w:rsidR="00AF69E9">
        <w:rPr>
          <w:sz w:val="28"/>
          <w:szCs w:val="28"/>
        </w:rPr>
        <w:t xml:space="preserve"> документов и материалов, представленных главными </w:t>
      </w:r>
      <w:r w:rsidR="000E0F67">
        <w:rPr>
          <w:sz w:val="28"/>
          <w:szCs w:val="28"/>
        </w:rPr>
        <w:t>администраторами</w:t>
      </w:r>
      <w:r w:rsidR="00B436F5">
        <w:rPr>
          <w:sz w:val="28"/>
          <w:szCs w:val="28"/>
        </w:rPr>
        <w:t xml:space="preserve"> </w:t>
      </w:r>
      <w:r w:rsidR="00A27426" w:rsidRPr="00174029">
        <w:rPr>
          <w:sz w:val="28"/>
          <w:szCs w:val="28"/>
        </w:rPr>
        <w:t>бюджетных сре</w:t>
      </w:r>
      <w:proofErr w:type="gramStart"/>
      <w:r w:rsidR="00A27426" w:rsidRPr="00174029">
        <w:rPr>
          <w:sz w:val="28"/>
          <w:szCs w:val="28"/>
        </w:rPr>
        <w:t>дств</w:t>
      </w:r>
      <w:r w:rsidR="00A27426">
        <w:rPr>
          <w:sz w:val="28"/>
          <w:szCs w:val="28"/>
        </w:rPr>
        <w:t xml:space="preserve"> </w:t>
      </w:r>
      <w:r w:rsidR="00B436F5">
        <w:rPr>
          <w:sz w:val="28"/>
          <w:szCs w:val="28"/>
        </w:rPr>
        <w:t>в с</w:t>
      </w:r>
      <w:proofErr w:type="gramEnd"/>
      <w:r w:rsidR="00B436F5">
        <w:rPr>
          <w:sz w:val="28"/>
          <w:szCs w:val="28"/>
        </w:rPr>
        <w:t>оответствии с Поря</w:t>
      </w:r>
      <w:r w:rsidR="00B436F5">
        <w:rPr>
          <w:sz w:val="28"/>
          <w:szCs w:val="28"/>
        </w:rPr>
        <w:t>д</w:t>
      </w:r>
      <w:r w:rsidR="00B436F5">
        <w:rPr>
          <w:sz w:val="28"/>
          <w:szCs w:val="28"/>
        </w:rPr>
        <w:t>ком.</w:t>
      </w:r>
    </w:p>
    <w:p w:rsidR="000E0F67" w:rsidRDefault="00D770B0" w:rsidP="00D77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>При расчете показателей качества финансового менеджмента учитыв</w:t>
      </w:r>
      <w:r w:rsidRPr="00D770B0">
        <w:rPr>
          <w:sz w:val="28"/>
          <w:szCs w:val="28"/>
        </w:rPr>
        <w:t>а</w:t>
      </w:r>
      <w:r w:rsidRPr="00D770B0">
        <w:rPr>
          <w:sz w:val="28"/>
          <w:szCs w:val="28"/>
        </w:rPr>
        <w:t>лись отраслевые особенности, влияющие на качество финансового менед</w:t>
      </w:r>
      <w:r w:rsidRPr="00D770B0">
        <w:rPr>
          <w:sz w:val="28"/>
          <w:szCs w:val="28"/>
        </w:rPr>
        <w:t>ж</w:t>
      </w:r>
      <w:r w:rsidRPr="00D770B0">
        <w:rPr>
          <w:sz w:val="28"/>
          <w:szCs w:val="28"/>
        </w:rPr>
        <w:t xml:space="preserve">мента и при этом независящие от каких-либо действий главных </w:t>
      </w:r>
      <w:r w:rsidR="000E0F67">
        <w:rPr>
          <w:sz w:val="28"/>
          <w:szCs w:val="28"/>
        </w:rPr>
        <w:t>администр</w:t>
      </w:r>
      <w:r w:rsidR="000E0F67">
        <w:rPr>
          <w:sz w:val="28"/>
          <w:szCs w:val="28"/>
        </w:rPr>
        <w:t>а</w:t>
      </w:r>
      <w:r w:rsidR="000E0F67">
        <w:rPr>
          <w:sz w:val="28"/>
          <w:szCs w:val="28"/>
        </w:rPr>
        <w:t>торов</w:t>
      </w:r>
      <w:r w:rsidR="00673FB8">
        <w:rPr>
          <w:sz w:val="28"/>
          <w:szCs w:val="28"/>
        </w:rPr>
        <w:t xml:space="preserve"> </w:t>
      </w:r>
      <w:r w:rsidR="00673FB8" w:rsidRPr="00174029">
        <w:rPr>
          <w:sz w:val="28"/>
          <w:szCs w:val="28"/>
        </w:rPr>
        <w:t>бюджетных средств</w:t>
      </w:r>
      <w:r w:rsidR="000E0F67">
        <w:rPr>
          <w:sz w:val="28"/>
          <w:szCs w:val="28"/>
        </w:rPr>
        <w:t xml:space="preserve">. </w:t>
      </w:r>
      <w:r w:rsidR="000E0F67" w:rsidRPr="000E0F67">
        <w:rPr>
          <w:sz w:val="28"/>
          <w:szCs w:val="28"/>
        </w:rPr>
        <w:t xml:space="preserve">В отдельных случаях у главного администратора </w:t>
      </w:r>
      <w:r w:rsidR="00673FB8" w:rsidRPr="00174029">
        <w:rPr>
          <w:sz w:val="28"/>
          <w:szCs w:val="28"/>
        </w:rPr>
        <w:t>бюджетных средств</w:t>
      </w:r>
      <w:r w:rsidR="00673FB8" w:rsidRPr="00D770B0">
        <w:rPr>
          <w:sz w:val="28"/>
          <w:szCs w:val="28"/>
        </w:rPr>
        <w:t xml:space="preserve"> </w:t>
      </w:r>
      <w:r w:rsidR="000E0F67" w:rsidRPr="000E0F67">
        <w:rPr>
          <w:sz w:val="28"/>
          <w:szCs w:val="28"/>
        </w:rPr>
        <w:t>в отчете о результатах мониторинга вместо рассчита</w:t>
      </w:r>
      <w:r w:rsidR="000E0F67" w:rsidRPr="000E0F67">
        <w:rPr>
          <w:sz w:val="28"/>
          <w:szCs w:val="28"/>
        </w:rPr>
        <w:t>н</w:t>
      </w:r>
      <w:r w:rsidR="000E0F67" w:rsidRPr="000E0F67">
        <w:rPr>
          <w:sz w:val="28"/>
          <w:szCs w:val="28"/>
        </w:rPr>
        <w:t xml:space="preserve">ных оценок указывалась буква «н», например: в случае </w:t>
      </w:r>
      <w:proofErr w:type="gramStart"/>
      <w:r w:rsidR="000E0F67" w:rsidRPr="000E0F67">
        <w:rPr>
          <w:sz w:val="28"/>
          <w:szCs w:val="28"/>
        </w:rPr>
        <w:t>отсутствия направл</w:t>
      </w:r>
      <w:r w:rsidR="000E0F67" w:rsidRPr="000E0F67">
        <w:rPr>
          <w:sz w:val="28"/>
          <w:szCs w:val="28"/>
        </w:rPr>
        <w:t>е</w:t>
      </w:r>
      <w:r w:rsidR="000E0F67" w:rsidRPr="000E0F67">
        <w:rPr>
          <w:sz w:val="28"/>
          <w:szCs w:val="28"/>
        </w:rPr>
        <w:t>ния оценки качества финансового менеджмента</w:t>
      </w:r>
      <w:proofErr w:type="gramEnd"/>
      <w:r w:rsidR="000E0F67" w:rsidRPr="000E0F67">
        <w:rPr>
          <w:sz w:val="28"/>
          <w:szCs w:val="28"/>
        </w:rPr>
        <w:t xml:space="preserve"> у главного администратора </w:t>
      </w:r>
      <w:r w:rsidR="00673FB8" w:rsidRPr="00174029">
        <w:rPr>
          <w:sz w:val="28"/>
          <w:szCs w:val="28"/>
        </w:rPr>
        <w:t>бюджетных средств</w:t>
      </w:r>
      <w:r w:rsidR="00673FB8" w:rsidRPr="00D770B0">
        <w:rPr>
          <w:sz w:val="28"/>
          <w:szCs w:val="28"/>
        </w:rPr>
        <w:t xml:space="preserve"> </w:t>
      </w:r>
      <w:r w:rsidR="000E0F67" w:rsidRPr="000E0F67">
        <w:rPr>
          <w:sz w:val="28"/>
          <w:szCs w:val="28"/>
        </w:rPr>
        <w:t>(например, отсутствуют расходы бюджета на капитал</w:t>
      </w:r>
      <w:r w:rsidR="000E0F67" w:rsidRPr="000E0F67">
        <w:rPr>
          <w:sz w:val="28"/>
          <w:szCs w:val="28"/>
        </w:rPr>
        <w:t>ь</w:t>
      </w:r>
      <w:r w:rsidR="000E0F67" w:rsidRPr="000E0F67">
        <w:rPr>
          <w:sz w:val="28"/>
          <w:szCs w:val="28"/>
        </w:rPr>
        <w:t>ные вложения в объекты муниципальной собственности или на предоставл</w:t>
      </w:r>
      <w:r w:rsidR="000E0F67" w:rsidRPr="000E0F67">
        <w:rPr>
          <w:sz w:val="28"/>
          <w:szCs w:val="28"/>
        </w:rPr>
        <w:t>е</w:t>
      </w:r>
      <w:r w:rsidR="000E0F67" w:rsidRPr="000E0F67">
        <w:rPr>
          <w:sz w:val="28"/>
          <w:szCs w:val="28"/>
        </w:rPr>
        <w:t>ние субсидий юридическим лицам). При этом вес этого отсутствующего направления пропорционально перераспределялся на другие направления оценки качества финансового менеджмента.</w:t>
      </w:r>
    </w:p>
    <w:p w:rsidR="000C75B6" w:rsidRPr="009C5313" w:rsidRDefault="000C75B6" w:rsidP="00D77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ECB" w:rsidRPr="000C75B6" w:rsidRDefault="00FB6ECB" w:rsidP="00FB6ECB">
      <w:pPr>
        <w:spacing w:after="240" w:line="276" w:lineRule="auto"/>
        <w:ind w:firstLine="709"/>
        <w:jc w:val="both"/>
        <w:rPr>
          <w:sz w:val="28"/>
          <w:szCs w:val="28"/>
        </w:rPr>
      </w:pPr>
      <w:r w:rsidRPr="000C75B6">
        <w:rPr>
          <w:sz w:val="28"/>
          <w:szCs w:val="28"/>
        </w:rPr>
        <w:t>По результатам проведения мониторинга установлено:</w:t>
      </w:r>
    </w:p>
    <w:tbl>
      <w:tblPr>
        <w:tblW w:w="4883" w:type="pct"/>
        <w:tblInd w:w="108" w:type="dxa"/>
        <w:tblLook w:val="04A0" w:firstRow="1" w:lastRow="0" w:firstColumn="1" w:lastColumn="0" w:noHBand="0" w:noVBand="1"/>
      </w:tblPr>
      <w:tblGrid>
        <w:gridCol w:w="6735"/>
        <w:gridCol w:w="2611"/>
      </w:tblGrid>
      <w:tr w:rsidR="00FB6ECB" w:rsidRPr="000C75B6" w:rsidTr="00673FB8">
        <w:trPr>
          <w:trHeight w:val="397"/>
        </w:trPr>
        <w:tc>
          <w:tcPr>
            <w:tcW w:w="3603" w:type="pct"/>
            <w:shd w:val="clear" w:color="auto" w:fill="auto"/>
            <w:vAlign w:val="center"/>
          </w:tcPr>
          <w:p w:rsidR="00FB6ECB" w:rsidRPr="000C75B6" w:rsidRDefault="00FB6ECB" w:rsidP="00FB6ECB">
            <w:pPr>
              <w:spacing w:line="276" w:lineRule="auto"/>
              <w:rPr>
                <w:sz w:val="28"/>
                <w:szCs w:val="28"/>
              </w:rPr>
            </w:pPr>
            <w:r w:rsidRPr="000C75B6">
              <w:rPr>
                <w:sz w:val="28"/>
                <w:szCs w:val="28"/>
              </w:rPr>
              <w:t>Максимальная итоговая оценка (значение)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B6ECB" w:rsidRPr="000C75B6" w:rsidRDefault="00F15D8A" w:rsidP="008E5B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FB6ECB" w:rsidRPr="000C75B6">
              <w:rPr>
                <w:sz w:val="28"/>
                <w:szCs w:val="28"/>
              </w:rPr>
              <w:t xml:space="preserve"> балла</w:t>
            </w:r>
          </w:p>
        </w:tc>
      </w:tr>
      <w:tr w:rsidR="00FB6ECB" w:rsidRPr="000C75B6" w:rsidTr="00673FB8">
        <w:trPr>
          <w:trHeight w:val="397"/>
        </w:trPr>
        <w:tc>
          <w:tcPr>
            <w:tcW w:w="3603" w:type="pct"/>
            <w:shd w:val="clear" w:color="auto" w:fill="auto"/>
            <w:vAlign w:val="center"/>
          </w:tcPr>
          <w:p w:rsidR="00FB6ECB" w:rsidRPr="000C75B6" w:rsidRDefault="00FB6ECB" w:rsidP="00FB6ECB">
            <w:pPr>
              <w:spacing w:line="276" w:lineRule="auto"/>
              <w:rPr>
                <w:sz w:val="28"/>
                <w:szCs w:val="28"/>
              </w:rPr>
            </w:pPr>
            <w:r w:rsidRPr="000C75B6">
              <w:rPr>
                <w:sz w:val="28"/>
                <w:szCs w:val="28"/>
              </w:rPr>
              <w:t>Минимальная итоговая оценка (значение)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B6ECB" w:rsidRPr="000C75B6" w:rsidRDefault="00F15D8A" w:rsidP="00FB6E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35,26 </w:t>
            </w:r>
            <w:r w:rsidR="00FB6ECB" w:rsidRPr="000C75B6">
              <w:rPr>
                <w:sz w:val="28"/>
                <w:szCs w:val="28"/>
              </w:rPr>
              <w:t>балла</w:t>
            </w:r>
          </w:p>
        </w:tc>
      </w:tr>
      <w:tr w:rsidR="00FB6ECB" w:rsidRPr="000C75B6" w:rsidTr="00673FB8">
        <w:trPr>
          <w:trHeight w:val="397"/>
        </w:trPr>
        <w:tc>
          <w:tcPr>
            <w:tcW w:w="3603" w:type="pct"/>
            <w:shd w:val="clear" w:color="auto" w:fill="auto"/>
            <w:vAlign w:val="center"/>
          </w:tcPr>
          <w:p w:rsidR="00FB6ECB" w:rsidRPr="000C75B6" w:rsidRDefault="00FB6ECB" w:rsidP="00FB6ECB">
            <w:pPr>
              <w:spacing w:line="276" w:lineRule="auto"/>
              <w:rPr>
                <w:sz w:val="28"/>
                <w:szCs w:val="28"/>
              </w:rPr>
            </w:pPr>
            <w:r w:rsidRPr="000C75B6">
              <w:rPr>
                <w:sz w:val="28"/>
                <w:szCs w:val="28"/>
              </w:rPr>
              <w:lastRenderedPageBreak/>
              <w:t>Средняя итоговая оценка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B6ECB" w:rsidRPr="000C75B6" w:rsidRDefault="00F15D8A" w:rsidP="007260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62,24</w:t>
            </w:r>
            <w:r w:rsidR="00FB6ECB" w:rsidRPr="000C75B6">
              <w:rPr>
                <w:sz w:val="28"/>
                <w:szCs w:val="28"/>
              </w:rPr>
              <w:t xml:space="preserve"> балла</w:t>
            </w:r>
          </w:p>
        </w:tc>
      </w:tr>
      <w:tr w:rsidR="00FB6ECB" w:rsidRPr="000C75B6" w:rsidTr="00673FB8">
        <w:trPr>
          <w:trHeight w:val="397"/>
        </w:trPr>
        <w:tc>
          <w:tcPr>
            <w:tcW w:w="3603" w:type="pct"/>
            <w:shd w:val="clear" w:color="auto" w:fill="auto"/>
            <w:vAlign w:val="center"/>
          </w:tcPr>
          <w:p w:rsidR="00FB6ECB" w:rsidRPr="000C75B6" w:rsidRDefault="00FB6ECB" w:rsidP="00FB6ECB">
            <w:pPr>
              <w:spacing w:line="276" w:lineRule="auto"/>
              <w:rPr>
                <w:sz w:val="28"/>
                <w:szCs w:val="28"/>
              </w:rPr>
            </w:pPr>
            <w:r w:rsidRPr="000C75B6">
              <w:rPr>
                <w:sz w:val="28"/>
                <w:szCs w:val="28"/>
              </w:rPr>
              <w:t>Средняя оценка по расходам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B6ECB" w:rsidRPr="000C75B6" w:rsidRDefault="00F15D8A" w:rsidP="007260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55,41</w:t>
            </w:r>
            <w:r w:rsidR="00FB6ECB" w:rsidRPr="000C75B6">
              <w:rPr>
                <w:sz w:val="28"/>
                <w:szCs w:val="28"/>
              </w:rPr>
              <w:t xml:space="preserve"> балла</w:t>
            </w:r>
          </w:p>
        </w:tc>
      </w:tr>
      <w:tr w:rsidR="00FB6ECB" w:rsidRPr="000C75B6" w:rsidTr="00673FB8">
        <w:trPr>
          <w:trHeight w:val="397"/>
        </w:trPr>
        <w:tc>
          <w:tcPr>
            <w:tcW w:w="3603" w:type="pct"/>
            <w:shd w:val="clear" w:color="auto" w:fill="auto"/>
            <w:vAlign w:val="center"/>
          </w:tcPr>
          <w:p w:rsidR="00FB6ECB" w:rsidRPr="000C75B6" w:rsidRDefault="00FB6ECB" w:rsidP="00FB6ECB">
            <w:pPr>
              <w:spacing w:line="276" w:lineRule="auto"/>
              <w:rPr>
                <w:sz w:val="28"/>
                <w:szCs w:val="28"/>
              </w:rPr>
            </w:pPr>
            <w:r w:rsidRPr="000C75B6">
              <w:rPr>
                <w:sz w:val="28"/>
                <w:szCs w:val="28"/>
              </w:rPr>
              <w:t>Средняя оценка по доходам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B6ECB" w:rsidRPr="000C75B6" w:rsidRDefault="00F15D8A" w:rsidP="00FB6E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55,24</w:t>
            </w:r>
            <w:r w:rsidR="00FB6ECB" w:rsidRPr="000C75B6">
              <w:rPr>
                <w:sz w:val="28"/>
                <w:szCs w:val="28"/>
              </w:rPr>
              <w:t xml:space="preserve"> балла</w:t>
            </w:r>
          </w:p>
        </w:tc>
      </w:tr>
      <w:tr w:rsidR="00FB6ECB" w:rsidRPr="00AF7007" w:rsidTr="00673FB8">
        <w:trPr>
          <w:trHeight w:val="397"/>
        </w:trPr>
        <w:tc>
          <w:tcPr>
            <w:tcW w:w="3603" w:type="pct"/>
            <w:shd w:val="clear" w:color="auto" w:fill="auto"/>
            <w:vAlign w:val="center"/>
          </w:tcPr>
          <w:p w:rsidR="00FB6ECB" w:rsidRPr="000C75B6" w:rsidRDefault="00FB6ECB" w:rsidP="00FB6ECB">
            <w:pPr>
              <w:spacing w:line="276" w:lineRule="auto"/>
              <w:rPr>
                <w:sz w:val="28"/>
                <w:szCs w:val="28"/>
              </w:rPr>
            </w:pPr>
            <w:r w:rsidRPr="000C75B6">
              <w:rPr>
                <w:sz w:val="28"/>
                <w:szCs w:val="28"/>
              </w:rPr>
              <w:t>Средняя оценка по учету и отчетности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B6ECB" w:rsidRPr="000C75B6" w:rsidRDefault="000C75B6" w:rsidP="00FB6E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FB6ECB" w:rsidRPr="000C75B6">
              <w:rPr>
                <w:sz w:val="28"/>
                <w:szCs w:val="28"/>
              </w:rPr>
              <w:t xml:space="preserve"> балла</w:t>
            </w:r>
          </w:p>
        </w:tc>
      </w:tr>
    </w:tbl>
    <w:p w:rsidR="00D16464" w:rsidRDefault="00D16464" w:rsidP="00FB6ECB">
      <w:pPr>
        <w:spacing w:line="276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181AB4" w:rsidRPr="00F97553" w:rsidRDefault="00F15D8A" w:rsidP="00C07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0200" w:rsidRPr="005F0200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="005F0200" w:rsidRPr="005F0200">
        <w:rPr>
          <w:sz w:val="28"/>
          <w:szCs w:val="28"/>
        </w:rPr>
        <w:t xml:space="preserve"> качества финансового менеджмента за 1 полугодие 202</w:t>
      </w:r>
      <w:r w:rsidR="005F0200">
        <w:rPr>
          <w:sz w:val="28"/>
          <w:szCs w:val="28"/>
        </w:rPr>
        <w:t>2</w:t>
      </w:r>
      <w:r w:rsidR="005F0200" w:rsidRPr="005F0200">
        <w:rPr>
          <w:sz w:val="28"/>
          <w:szCs w:val="28"/>
        </w:rPr>
        <w:t xml:space="preserve"> года в разрезе групп показателей и главных администраторов бюджетных сре</w:t>
      </w:r>
      <w:proofErr w:type="gramStart"/>
      <w:r w:rsidR="005F0200" w:rsidRPr="005F0200">
        <w:rPr>
          <w:sz w:val="28"/>
          <w:szCs w:val="28"/>
        </w:rPr>
        <w:t>дств пр</w:t>
      </w:r>
      <w:proofErr w:type="gramEnd"/>
      <w:r w:rsidR="005F0200" w:rsidRPr="005F0200">
        <w:rPr>
          <w:sz w:val="28"/>
          <w:szCs w:val="28"/>
        </w:rPr>
        <w:t>едставлен</w:t>
      </w:r>
      <w:r w:rsidR="00731831">
        <w:rPr>
          <w:sz w:val="28"/>
          <w:szCs w:val="28"/>
        </w:rPr>
        <w:t xml:space="preserve">а в </w:t>
      </w:r>
      <w:r w:rsidR="005F0200" w:rsidRPr="005F0200">
        <w:rPr>
          <w:sz w:val="28"/>
          <w:szCs w:val="28"/>
        </w:rPr>
        <w:t xml:space="preserve"> таблице 1</w:t>
      </w:r>
      <w:r w:rsidR="005F0200">
        <w:rPr>
          <w:sz w:val="28"/>
          <w:szCs w:val="28"/>
        </w:rPr>
        <w:t>.</w:t>
      </w:r>
    </w:p>
    <w:p w:rsidR="00181AB4" w:rsidRPr="00F97553" w:rsidRDefault="00181AB4" w:rsidP="00C075EA">
      <w:pPr>
        <w:ind w:firstLine="708"/>
        <w:jc w:val="both"/>
        <w:rPr>
          <w:sz w:val="28"/>
          <w:szCs w:val="28"/>
        </w:rPr>
      </w:pPr>
    </w:p>
    <w:p w:rsidR="00C075EA" w:rsidRPr="00F97553" w:rsidRDefault="00C075EA" w:rsidP="00C075EA">
      <w:pPr>
        <w:spacing w:line="280" w:lineRule="exact"/>
        <w:ind w:firstLine="720"/>
        <w:jc w:val="right"/>
        <w:rPr>
          <w:sz w:val="28"/>
          <w:szCs w:val="28"/>
        </w:rPr>
      </w:pPr>
      <w:r w:rsidRPr="00F97553">
        <w:rPr>
          <w:sz w:val="28"/>
          <w:szCs w:val="28"/>
        </w:rPr>
        <w:t>Таблица 1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2"/>
        <w:gridCol w:w="567"/>
        <w:gridCol w:w="141"/>
        <w:gridCol w:w="709"/>
        <w:gridCol w:w="851"/>
        <w:gridCol w:w="809"/>
        <w:gridCol w:w="325"/>
        <w:gridCol w:w="910"/>
        <w:gridCol w:w="224"/>
        <w:gridCol w:w="12"/>
        <w:gridCol w:w="839"/>
        <w:gridCol w:w="850"/>
      </w:tblGrid>
      <w:tr w:rsidR="00F4095E" w:rsidTr="00712FD3">
        <w:trPr>
          <w:trHeight w:val="31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ОЦЕНКА КАЧЕСТВА ФИНАНСОВОГО МЕНЕДЖМЕНТА</w:t>
            </w:r>
          </w:p>
        </w:tc>
      </w:tr>
      <w:tr w:rsidR="00F4095E" w:rsidTr="00712FD3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095E" w:rsidTr="00712FD3">
        <w:trPr>
          <w:trHeight w:val="25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за 1 полугодие 2022 года</w:t>
            </w:r>
          </w:p>
        </w:tc>
      </w:tr>
      <w:tr w:rsidR="00F4095E" w:rsidTr="001B0338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095E" w:rsidTr="001B0338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F4095E" w:rsidTr="001B0338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095E" w:rsidTr="001B0338">
        <w:trPr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0,5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0,1</w:t>
            </w:r>
          </w:p>
        </w:tc>
      </w:tr>
      <w:tr w:rsidR="00F4095E" w:rsidTr="001B0338">
        <w:trPr>
          <w:trHeight w:val="255"/>
        </w:trPr>
        <w:tc>
          <w:tcPr>
            <w:tcW w:w="45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 средств  бюджета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щая оце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(в ба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лах)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Оценки по группам показателей качества финансового 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неджмента</w:t>
            </w:r>
          </w:p>
        </w:tc>
      </w:tr>
      <w:tr w:rsidR="00712FD3" w:rsidTr="001B0338">
        <w:trPr>
          <w:trHeight w:val="211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 по БК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95E" w:rsidRDefault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Упра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ление расх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дами бюдж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Управл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ние дох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дами бю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Учет и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четность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ренний аудит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ление актив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</w:t>
            </w:r>
          </w:p>
        </w:tc>
      </w:tr>
      <w:tr w:rsidR="00712FD3" w:rsidTr="001B0338">
        <w:trPr>
          <w:trHeight w:val="27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712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712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712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712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712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712FD3" w:rsidTr="001B0338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Совет  муниципального округа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75,80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5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муниципального округа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5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Отдел имущественных и земельных отнош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ний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5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Финансовое управление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5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Отдел образования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5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Отдел культуры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5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 труда и социальной защиты нас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ления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 сельского хозяйства и охраны окруж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ющей среды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07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Контрольно-счетная палата 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Водораздельный территориальный отдел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Воровсколесский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территориальный отдел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территориальный отдел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Красноярский территориальный отдел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Крымгиреевский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территориальный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71,67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41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Курсавский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территориальный отдел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9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Куршавский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территориальный отдел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Новоянкульский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территориальный отдел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45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Солуно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-Дмитриевский территориальный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44,98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Султанский территориальный отдел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525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 w:rsidP="00F409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Янкульский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территориальный отдел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  <w:tr w:rsidR="00712FD3" w:rsidTr="001B0338">
        <w:trPr>
          <w:trHeight w:val="255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Средние значения (в баллах):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 w:rsidP="00F409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5E" w:rsidRDefault="00F409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</w:tr>
    </w:tbl>
    <w:p w:rsidR="00972D20" w:rsidRPr="00F97553" w:rsidRDefault="00972D20" w:rsidP="0018363A">
      <w:pPr>
        <w:ind w:firstLine="720"/>
        <w:jc w:val="both"/>
        <w:rPr>
          <w:sz w:val="28"/>
          <w:szCs w:val="28"/>
        </w:rPr>
      </w:pPr>
    </w:p>
    <w:p w:rsidR="006571C6" w:rsidRPr="00F97553" w:rsidRDefault="006571C6" w:rsidP="00114177">
      <w:pPr>
        <w:spacing w:line="240" w:lineRule="exact"/>
        <w:jc w:val="both"/>
        <w:rPr>
          <w:sz w:val="28"/>
          <w:szCs w:val="28"/>
        </w:rPr>
      </w:pPr>
    </w:p>
    <w:p w:rsidR="006571C6" w:rsidRPr="00F97553" w:rsidRDefault="006571C6" w:rsidP="006571C6">
      <w:pPr>
        <w:spacing w:line="240" w:lineRule="exact"/>
        <w:jc w:val="both"/>
        <w:rPr>
          <w:sz w:val="20"/>
          <w:szCs w:val="20"/>
        </w:rPr>
      </w:pPr>
      <w:r w:rsidRPr="00F97553">
        <w:rPr>
          <w:sz w:val="20"/>
          <w:szCs w:val="20"/>
        </w:rPr>
        <w:t>.</w:t>
      </w:r>
    </w:p>
    <w:p w:rsidR="006571C6" w:rsidRPr="00F97553" w:rsidRDefault="006571C6" w:rsidP="00114177">
      <w:pPr>
        <w:spacing w:line="240" w:lineRule="exact"/>
        <w:jc w:val="both"/>
        <w:rPr>
          <w:sz w:val="28"/>
          <w:szCs w:val="28"/>
        </w:rPr>
      </w:pPr>
    </w:p>
    <w:p w:rsidR="00114177" w:rsidRPr="00F97553" w:rsidRDefault="00114177" w:rsidP="00114177">
      <w:pPr>
        <w:spacing w:line="240" w:lineRule="exact"/>
        <w:jc w:val="both"/>
        <w:rPr>
          <w:sz w:val="28"/>
          <w:szCs w:val="28"/>
        </w:rPr>
      </w:pPr>
      <w:proofErr w:type="gramStart"/>
      <w:r w:rsidRPr="00F97553">
        <w:rPr>
          <w:sz w:val="28"/>
          <w:szCs w:val="28"/>
        </w:rPr>
        <w:t>Исполняющий</w:t>
      </w:r>
      <w:proofErr w:type="gramEnd"/>
      <w:r w:rsidRPr="00F97553">
        <w:rPr>
          <w:sz w:val="28"/>
          <w:szCs w:val="28"/>
        </w:rPr>
        <w:t xml:space="preserve"> обязанности</w:t>
      </w:r>
    </w:p>
    <w:p w:rsidR="00114177" w:rsidRPr="00F97553" w:rsidRDefault="00114177" w:rsidP="00114177">
      <w:pPr>
        <w:spacing w:line="240" w:lineRule="exact"/>
        <w:jc w:val="both"/>
        <w:rPr>
          <w:sz w:val="28"/>
          <w:szCs w:val="28"/>
        </w:rPr>
      </w:pPr>
      <w:r w:rsidRPr="00F97553">
        <w:rPr>
          <w:sz w:val="28"/>
          <w:szCs w:val="28"/>
        </w:rPr>
        <w:t xml:space="preserve">руководителя Финансового управления </w:t>
      </w:r>
    </w:p>
    <w:p w:rsidR="00114177" w:rsidRPr="00F97553" w:rsidRDefault="00114177" w:rsidP="00114177">
      <w:pPr>
        <w:spacing w:line="240" w:lineRule="exact"/>
        <w:jc w:val="both"/>
        <w:rPr>
          <w:sz w:val="28"/>
          <w:szCs w:val="28"/>
        </w:rPr>
      </w:pPr>
      <w:r w:rsidRPr="00F97553">
        <w:rPr>
          <w:sz w:val="28"/>
          <w:szCs w:val="28"/>
        </w:rPr>
        <w:t xml:space="preserve">администрации Андроповского </w:t>
      </w:r>
    </w:p>
    <w:p w:rsidR="00114177" w:rsidRPr="00F97553" w:rsidRDefault="00114177" w:rsidP="00114177">
      <w:pPr>
        <w:spacing w:line="240" w:lineRule="exact"/>
        <w:jc w:val="both"/>
        <w:rPr>
          <w:sz w:val="28"/>
          <w:szCs w:val="28"/>
        </w:rPr>
      </w:pPr>
      <w:r w:rsidRPr="00F97553">
        <w:rPr>
          <w:sz w:val="28"/>
          <w:szCs w:val="28"/>
        </w:rPr>
        <w:t>муниципального округа</w:t>
      </w:r>
    </w:p>
    <w:p w:rsidR="00114177" w:rsidRDefault="00114177" w:rsidP="00114177">
      <w:pPr>
        <w:spacing w:line="240" w:lineRule="exact"/>
        <w:jc w:val="both"/>
        <w:rPr>
          <w:sz w:val="28"/>
          <w:szCs w:val="28"/>
        </w:rPr>
      </w:pPr>
      <w:r w:rsidRPr="00F97553">
        <w:rPr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 w:rsidRPr="00F97553">
        <w:rPr>
          <w:sz w:val="28"/>
          <w:szCs w:val="28"/>
        </w:rPr>
        <w:t>Н.В.Жаворонкова</w:t>
      </w:r>
      <w:proofErr w:type="spellEnd"/>
    </w:p>
    <w:p w:rsidR="00114177" w:rsidRPr="009D3022" w:rsidRDefault="00114177" w:rsidP="002D01F9">
      <w:pPr>
        <w:ind w:firstLine="708"/>
        <w:jc w:val="right"/>
        <w:rPr>
          <w:sz w:val="20"/>
          <w:szCs w:val="20"/>
        </w:rPr>
      </w:pPr>
      <w:bookmarkStart w:id="0" w:name="_GoBack"/>
      <w:bookmarkEnd w:id="0"/>
    </w:p>
    <w:sectPr w:rsidR="00114177" w:rsidRPr="009D3022" w:rsidSect="000716E6">
      <w:footerReference w:type="even" r:id="rId9"/>
      <w:pgSz w:w="11906" w:h="16838"/>
      <w:pgMar w:top="85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3A" w:rsidRDefault="0018363A">
      <w:r>
        <w:separator/>
      </w:r>
    </w:p>
  </w:endnote>
  <w:endnote w:type="continuationSeparator" w:id="0">
    <w:p w:rsidR="0018363A" w:rsidRDefault="001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3A" w:rsidRDefault="0018363A" w:rsidP="008B0F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363A" w:rsidRDefault="0018363A" w:rsidP="003109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3A" w:rsidRDefault="0018363A">
      <w:r>
        <w:separator/>
      </w:r>
    </w:p>
  </w:footnote>
  <w:footnote w:type="continuationSeparator" w:id="0">
    <w:p w:rsidR="0018363A" w:rsidRDefault="0018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82"/>
    <w:multiLevelType w:val="multilevel"/>
    <w:tmpl w:val="13E24B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05F7755C"/>
    <w:multiLevelType w:val="hybridMultilevel"/>
    <w:tmpl w:val="8F682F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0647A"/>
    <w:multiLevelType w:val="multilevel"/>
    <w:tmpl w:val="BCA0C0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58E17486"/>
    <w:multiLevelType w:val="multilevel"/>
    <w:tmpl w:val="F2F67A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649E520E"/>
    <w:multiLevelType w:val="multilevel"/>
    <w:tmpl w:val="256E46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66D707CD"/>
    <w:multiLevelType w:val="multilevel"/>
    <w:tmpl w:val="BE288B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6">
    <w:nsid w:val="683F779B"/>
    <w:multiLevelType w:val="multilevel"/>
    <w:tmpl w:val="B4E0A59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694D75E0"/>
    <w:multiLevelType w:val="hybridMultilevel"/>
    <w:tmpl w:val="3C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D1FDF"/>
    <w:multiLevelType w:val="multilevel"/>
    <w:tmpl w:val="725A6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7FFC33EA"/>
    <w:multiLevelType w:val="hybridMultilevel"/>
    <w:tmpl w:val="C832C1CA"/>
    <w:lvl w:ilvl="0" w:tplc="74E4AE1A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E"/>
    <w:rsid w:val="00001514"/>
    <w:rsid w:val="00002FDA"/>
    <w:rsid w:val="0000474F"/>
    <w:rsid w:val="00006ACE"/>
    <w:rsid w:val="00007226"/>
    <w:rsid w:val="00010398"/>
    <w:rsid w:val="000111B8"/>
    <w:rsid w:val="00011B74"/>
    <w:rsid w:val="00013161"/>
    <w:rsid w:val="00013B82"/>
    <w:rsid w:val="000140EA"/>
    <w:rsid w:val="000144D3"/>
    <w:rsid w:val="000179D8"/>
    <w:rsid w:val="00020AA9"/>
    <w:rsid w:val="00022F6E"/>
    <w:rsid w:val="00024C98"/>
    <w:rsid w:val="0002797D"/>
    <w:rsid w:val="00036270"/>
    <w:rsid w:val="00037182"/>
    <w:rsid w:val="0004112D"/>
    <w:rsid w:val="000415FD"/>
    <w:rsid w:val="00041D40"/>
    <w:rsid w:val="00043B40"/>
    <w:rsid w:val="00044DFD"/>
    <w:rsid w:val="00046705"/>
    <w:rsid w:val="0004676E"/>
    <w:rsid w:val="00053190"/>
    <w:rsid w:val="00057842"/>
    <w:rsid w:val="00062E1B"/>
    <w:rsid w:val="00066C54"/>
    <w:rsid w:val="000716E6"/>
    <w:rsid w:val="00074DEC"/>
    <w:rsid w:val="00080220"/>
    <w:rsid w:val="000843D5"/>
    <w:rsid w:val="000957C8"/>
    <w:rsid w:val="00096564"/>
    <w:rsid w:val="00096584"/>
    <w:rsid w:val="000979A7"/>
    <w:rsid w:val="000A134C"/>
    <w:rsid w:val="000A1FB1"/>
    <w:rsid w:val="000A2D9E"/>
    <w:rsid w:val="000A51D8"/>
    <w:rsid w:val="000A7340"/>
    <w:rsid w:val="000B16DB"/>
    <w:rsid w:val="000B2E31"/>
    <w:rsid w:val="000B40B1"/>
    <w:rsid w:val="000B4F14"/>
    <w:rsid w:val="000C0A32"/>
    <w:rsid w:val="000C469E"/>
    <w:rsid w:val="000C677F"/>
    <w:rsid w:val="000C75B6"/>
    <w:rsid w:val="000D195A"/>
    <w:rsid w:val="000D38FC"/>
    <w:rsid w:val="000D7A8A"/>
    <w:rsid w:val="000E0F67"/>
    <w:rsid w:val="000E1114"/>
    <w:rsid w:val="000E1AB3"/>
    <w:rsid w:val="000E1C6C"/>
    <w:rsid w:val="000E219D"/>
    <w:rsid w:val="000E3F74"/>
    <w:rsid w:val="000E6CE6"/>
    <w:rsid w:val="000E7912"/>
    <w:rsid w:val="000F0644"/>
    <w:rsid w:val="000F1588"/>
    <w:rsid w:val="000F2783"/>
    <w:rsid w:val="000F404C"/>
    <w:rsid w:val="000F7265"/>
    <w:rsid w:val="000F7625"/>
    <w:rsid w:val="000F7D0C"/>
    <w:rsid w:val="00100E2F"/>
    <w:rsid w:val="00107C0C"/>
    <w:rsid w:val="00113B54"/>
    <w:rsid w:val="00114177"/>
    <w:rsid w:val="001178DC"/>
    <w:rsid w:val="00121FD8"/>
    <w:rsid w:val="00124BB3"/>
    <w:rsid w:val="00124F27"/>
    <w:rsid w:val="0012578A"/>
    <w:rsid w:val="001263D9"/>
    <w:rsid w:val="001279E2"/>
    <w:rsid w:val="00131CD9"/>
    <w:rsid w:val="00132DFB"/>
    <w:rsid w:val="001336B2"/>
    <w:rsid w:val="00136005"/>
    <w:rsid w:val="00136464"/>
    <w:rsid w:val="00141E50"/>
    <w:rsid w:val="00144E77"/>
    <w:rsid w:val="001459A6"/>
    <w:rsid w:val="0015683C"/>
    <w:rsid w:val="001604D3"/>
    <w:rsid w:val="00164728"/>
    <w:rsid w:val="00164E4C"/>
    <w:rsid w:val="00165523"/>
    <w:rsid w:val="00166D1F"/>
    <w:rsid w:val="00171173"/>
    <w:rsid w:val="00173AB1"/>
    <w:rsid w:val="00174A0A"/>
    <w:rsid w:val="00181AB4"/>
    <w:rsid w:val="0018363A"/>
    <w:rsid w:val="00185937"/>
    <w:rsid w:val="00186527"/>
    <w:rsid w:val="00192412"/>
    <w:rsid w:val="0019252A"/>
    <w:rsid w:val="001925B2"/>
    <w:rsid w:val="00195D12"/>
    <w:rsid w:val="001A4C72"/>
    <w:rsid w:val="001A5FC6"/>
    <w:rsid w:val="001A7AC0"/>
    <w:rsid w:val="001B0326"/>
    <w:rsid w:val="001B0338"/>
    <w:rsid w:val="001B0C3E"/>
    <w:rsid w:val="001B16DB"/>
    <w:rsid w:val="001B2EC2"/>
    <w:rsid w:val="001B3F11"/>
    <w:rsid w:val="001B4DFD"/>
    <w:rsid w:val="001C0FE6"/>
    <w:rsid w:val="001D07FD"/>
    <w:rsid w:val="001D0C38"/>
    <w:rsid w:val="001D1EB6"/>
    <w:rsid w:val="001D282B"/>
    <w:rsid w:val="001E7CB2"/>
    <w:rsid w:val="001F0C72"/>
    <w:rsid w:val="001F26DA"/>
    <w:rsid w:val="001F60A6"/>
    <w:rsid w:val="001F60AD"/>
    <w:rsid w:val="002001D2"/>
    <w:rsid w:val="00211365"/>
    <w:rsid w:val="002124C5"/>
    <w:rsid w:val="00220537"/>
    <w:rsid w:val="00221EE4"/>
    <w:rsid w:val="00224567"/>
    <w:rsid w:val="002247E3"/>
    <w:rsid w:val="002253F7"/>
    <w:rsid w:val="00233EB0"/>
    <w:rsid w:val="00235853"/>
    <w:rsid w:val="00240345"/>
    <w:rsid w:val="00241681"/>
    <w:rsid w:val="00241D71"/>
    <w:rsid w:val="00242A3B"/>
    <w:rsid w:val="0024314D"/>
    <w:rsid w:val="00244089"/>
    <w:rsid w:val="00244A9E"/>
    <w:rsid w:val="002474C8"/>
    <w:rsid w:val="00247685"/>
    <w:rsid w:val="0025441B"/>
    <w:rsid w:val="00254784"/>
    <w:rsid w:val="002568CD"/>
    <w:rsid w:val="00257C38"/>
    <w:rsid w:val="00262727"/>
    <w:rsid w:val="0026517C"/>
    <w:rsid w:val="0027475E"/>
    <w:rsid w:val="00275CD0"/>
    <w:rsid w:val="00276CDC"/>
    <w:rsid w:val="00276FA7"/>
    <w:rsid w:val="00280466"/>
    <w:rsid w:val="0028125F"/>
    <w:rsid w:val="00284AA6"/>
    <w:rsid w:val="002A0009"/>
    <w:rsid w:val="002A0086"/>
    <w:rsid w:val="002A05E2"/>
    <w:rsid w:val="002A31CC"/>
    <w:rsid w:val="002A6DE4"/>
    <w:rsid w:val="002B1A64"/>
    <w:rsid w:val="002B3C7F"/>
    <w:rsid w:val="002D01F9"/>
    <w:rsid w:val="002D488E"/>
    <w:rsid w:val="002D4BAB"/>
    <w:rsid w:val="002D596E"/>
    <w:rsid w:val="002E33BE"/>
    <w:rsid w:val="002E47D6"/>
    <w:rsid w:val="002F0DC4"/>
    <w:rsid w:val="002F2894"/>
    <w:rsid w:val="002F567E"/>
    <w:rsid w:val="002F6534"/>
    <w:rsid w:val="002F7746"/>
    <w:rsid w:val="00302CAA"/>
    <w:rsid w:val="003047EB"/>
    <w:rsid w:val="003078EB"/>
    <w:rsid w:val="00310986"/>
    <w:rsid w:val="00311AB7"/>
    <w:rsid w:val="00312AF1"/>
    <w:rsid w:val="00312C53"/>
    <w:rsid w:val="00313A29"/>
    <w:rsid w:val="00320F18"/>
    <w:rsid w:val="00321DE1"/>
    <w:rsid w:val="00327383"/>
    <w:rsid w:val="003278FC"/>
    <w:rsid w:val="00331ACA"/>
    <w:rsid w:val="0033532B"/>
    <w:rsid w:val="0033635F"/>
    <w:rsid w:val="00343C65"/>
    <w:rsid w:val="00347D28"/>
    <w:rsid w:val="00350511"/>
    <w:rsid w:val="00351F38"/>
    <w:rsid w:val="00352500"/>
    <w:rsid w:val="0035448B"/>
    <w:rsid w:val="00356296"/>
    <w:rsid w:val="0036053B"/>
    <w:rsid w:val="00360E79"/>
    <w:rsid w:val="00365864"/>
    <w:rsid w:val="00366587"/>
    <w:rsid w:val="003741F8"/>
    <w:rsid w:val="00381459"/>
    <w:rsid w:val="003845C2"/>
    <w:rsid w:val="00384B76"/>
    <w:rsid w:val="00385A03"/>
    <w:rsid w:val="003878A6"/>
    <w:rsid w:val="00390C69"/>
    <w:rsid w:val="003919D6"/>
    <w:rsid w:val="00394134"/>
    <w:rsid w:val="00394176"/>
    <w:rsid w:val="0039469E"/>
    <w:rsid w:val="003956A0"/>
    <w:rsid w:val="003962CA"/>
    <w:rsid w:val="00396A22"/>
    <w:rsid w:val="003A1935"/>
    <w:rsid w:val="003A4882"/>
    <w:rsid w:val="003A527F"/>
    <w:rsid w:val="003B1A43"/>
    <w:rsid w:val="003B4D86"/>
    <w:rsid w:val="003B7578"/>
    <w:rsid w:val="003C5E77"/>
    <w:rsid w:val="003D04E3"/>
    <w:rsid w:val="003D4A58"/>
    <w:rsid w:val="003D5F0B"/>
    <w:rsid w:val="003D69E9"/>
    <w:rsid w:val="003E2998"/>
    <w:rsid w:val="003E5C8E"/>
    <w:rsid w:val="004005DD"/>
    <w:rsid w:val="00401E2B"/>
    <w:rsid w:val="004106F1"/>
    <w:rsid w:val="00414E18"/>
    <w:rsid w:val="004155FF"/>
    <w:rsid w:val="004200E9"/>
    <w:rsid w:val="00421EB6"/>
    <w:rsid w:val="00422A66"/>
    <w:rsid w:val="00424D73"/>
    <w:rsid w:val="00430620"/>
    <w:rsid w:val="00432145"/>
    <w:rsid w:val="00434B57"/>
    <w:rsid w:val="00435340"/>
    <w:rsid w:val="0043547A"/>
    <w:rsid w:val="00444896"/>
    <w:rsid w:val="004516EF"/>
    <w:rsid w:val="00451720"/>
    <w:rsid w:val="00452CD2"/>
    <w:rsid w:val="00453CAE"/>
    <w:rsid w:val="00455321"/>
    <w:rsid w:val="004555E1"/>
    <w:rsid w:val="00455F31"/>
    <w:rsid w:val="004603B8"/>
    <w:rsid w:val="00461C15"/>
    <w:rsid w:val="00462E68"/>
    <w:rsid w:val="00464A3E"/>
    <w:rsid w:val="00464BFF"/>
    <w:rsid w:val="00465081"/>
    <w:rsid w:val="0046627C"/>
    <w:rsid w:val="00473993"/>
    <w:rsid w:val="00473B66"/>
    <w:rsid w:val="004747D0"/>
    <w:rsid w:val="0047612A"/>
    <w:rsid w:val="004775EE"/>
    <w:rsid w:val="0048043C"/>
    <w:rsid w:val="00481DE9"/>
    <w:rsid w:val="0048388D"/>
    <w:rsid w:val="00483BFB"/>
    <w:rsid w:val="004907C2"/>
    <w:rsid w:val="00491EAE"/>
    <w:rsid w:val="00492CF7"/>
    <w:rsid w:val="004A526B"/>
    <w:rsid w:val="004A5D7F"/>
    <w:rsid w:val="004A7DE4"/>
    <w:rsid w:val="004B1179"/>
    <w:rsid w:val="004B373D"/>
    <w:rsid w:val="004B54D2"/>
    <w:rsid w:val="004B7D42"/>
    <w:rsid w:val="004C3826"/>
    <w:rsid w:val="004C66A4"/>
    <w:rsid w:val="004C7698"/>
    <w:rsid w:val="004C7BB4"/>
    <w:rsid w:val="004D0043"/>
    <w:rsid w:val="004D21A9"/>
    <w:rsid w:val="004D3C57"/>
    <w:rsid w:val="004D79E1"/>
    <w:rsid w:val="004E1F08"/>
    <w:rsid w:val="004E3A3B"/>
    <w:rsid w:val="004E498E"/>
    <w:rsid w:val="004F0AD0"/>
    <w:rsid w:val="004F10A6"/>
    <w:rsid w:val="004F148C"/>
    <w:rsid w:val="004F15C8"/>
    <w:rsid w:val="004F4B7A"/>
    <w:rsid w:val="004F5F63"/>
    <w:rsid w:val="004F7BAF"/>
    <w:rsid w:val="005031B5"/>
    <w:rsid w:val="005032AA"/>
    <w:rsid w:val="00504190"/>
    <w:rsid w:val="0050440A"/>
    <w:rsid w:val="00506A91"/>
    <w:rsid w:val="00507C9D"/>
    <w:rsid w:val="005147DF"/>
    <w:rsid w:val="005174F8"/>
    <w:rsid w:val="00523CA2"/>
    <w:rsid w:val="00523D90"/>
    <w:rsid w:val="0053456F"/>
    <w:rsid w:val="00540010"/>
    <w:rsid w:val="00543A1D"/>
    <w:rsid w:val="00546CE6"/>
    <w:rsid w:val="0055061B"/>
    <w:rsid w:val="0055134B"/>
    <w:rsid w:val="00554146"/>
    <w:rsid w:val="00557959"/>
    <w:rsid w:val="00560377"/>
    <w:rsid w:val="00561F6B"/>
    <w:rsid w:val="00570834"/>
    <w:rsid w:val="00573776"/>
    <w:rsid w:val="005757A2"/>
    <w:rsid w:val="00581D2E"/>
    <w:rsid w:val="00582890"/>
    <w:rsid w:val="00583937"/>
    <w:rsid w:val="00585C87"/>
    <w:rsid w:val="0059084A"/>
    <w:rsid w:val="00593E5B"/>
    <w:rsid w:val="0059505D"/>
    <w:rsid w:val="00597F5D"/>
    <w:rsid w:val="005A104B"/>
    <w:rsid w:val="005A15F9"/>
    <w:rsid w:val="005A36C9"/>
    <w:rsid w:val="005A3D21"/>
    <w:rsid w:val="005A49FB"/>
    <w:rsid w:val="005A734C"/>
    <w:rsid w:val="005A7810"/>
    <w:rsid w:val="005A7882"/>
    <w:rsid w:val="005B7925"/>
    <w:rsid w:val="005C6D6F"/>
    <w:rsid w:val="005D40C9"/>
    <w:rsid w:val="005D4426"/>
    <w:rsid w:val="005D4504"/>
    <w:rsid w:val="005E55CA"/>
    <w:rsid w:val="005E5BDB"/>
    <w:rsid w:val="005F0200"/>
    <w:rsid w:val="005F1AD5"/>
    <w:rsid w:val="005F590E"/>
    <w:rsid w:val="005F64FA"/>
    <w:rsid w:val="00607F79"/>
    <w:rsid w:val="0061145F"/>
    <w:rsid w:val="00612115"/>
    <w:rsid w:val="00614DE8"/>
    <w:rsid w:val="00617874"/>
    <w:rsid w:val="006214E7"/>
    <w:rsid w:val="006224C1"/>
    <w:rsid w:val="00624435"/>
    <w:rsid w:val="00631ECB"/>
    <w:rsid w:val="0063279A"/>
    <w:rsid w:val="00632EA2"/>
    <w:rsid w:val="00636F1F"/>
    <w:rsid w:val="006419CF"/>
    <w:rsid w:val="00644AA8"/>
    <w:rsid w:val="00647AA4"/>
    <w:rsid w:val="00647CE6"/>
    <w:rsid w:val="0065014F"/>
    <w:rsid w:val="00653A0F"/>
    <w:rsid w:val="00654DB5"/>
    <w:rsid w:val="00655DB9"/>
    <w:rsid w:val="00656C7E"/>
    <w:rsid w:val="006571C6"/>
    <w:rsid w:val="00657F7D"/>
    <w:rsid w:val="00660595"/>
    <w:rsid w:val="00662E21"/>
    <w:rsid w:val="00662E53"/>
    <w:rsid w:val="00664283"/>
    <w:rsid w:val="00667D98"/>
    <w:rsid w:val="006732A8"/>
    <w:rsid w:val="00673FB8"/>
    <w:rsid w:val="00677853"/>
    <w:rsid w:val="00682227"/>
    <w:rsid w:val="00682A3C"/>
    <w:rsid w:val="00686CDF"/>
    <w:rsid w:val="006A412C"/>
    <w:rsid w:val="006A519E"/>
    <w:rsid w:val="006A73A6"/>
    <w:rsid w:val="006B0B0F"/>
    <w:rsid w:val="006B579B"/>
    <w:rsid w:val="006B6F69"/>
    <w:rsid w:val="006B757E"/>
    <w:rsid w:val="006C336D"/>
    <w:rsid w:val="006C7CE7"/>
    <w:rsid w:val="006D5DB8"/>
    <w:rsid w:val="006E1831"/>
    <w:rsid w:val="006E4250"/>
    <w:rsid w:val="006E7780"/>
    <w:rsid w:val="006F2129"/>
    <w:rsid w:val="006F2928"/>
    <w:rsid w:val="006F3F55"/>
    <w:rsid w:val="006F4E0F"/>
    <w:rsid w:val="006F64AB"/>
    <w:rsid w:val="007012A7"/>
    <w:rsid w:val="00704E52"/>
    <w:rsid w:val="00712300"/>
    <w:rsid w:val="00712FD3"/>
    <w:rsid w:val="00716979"/>
    <w:rsid w:val="00717F6B"/>
    <w:rsid w:val="00720972"/>
    <w:rsid w:val="00720B1F"/>
    <w:rsid w:val="007243BD"/>
    <w:rsid w:val="007259E2"/>
    <w:rsid w:val="007260FC"/>
    <w:rsid w:val="00726EC6"/>
    <w:rsid w:val="00730E89"/>
    <w:rsid w:val="0073163F"/>
    <w:rsid w:val="00731831"/>
    <w:rsid w:val="00732A82"/>
    <w:rsid w:val="00734A36"/>
    <w:rsid w:val="0073637D"/>
    <w:rsid w:val="00744795"/>
    <w:rsid w:val="0076260F"/>
    <w:rsid w:val="00766A25"/>
    <w:rsid w:val="00767612"/>
    <w:rsid w:val="00770474"/>
    <w:rsid w:val="00773354"/>
    <w:rsid w:val="00774B37"/>
    <w:rsid w:val="00774F4B"/>
    <w:rsid w:val="007762EC"/>
    <w:rsid w:val="00777EE3"/>
    <w:rsid w:val="007837E5"/>
    <w:rsid w:val="00786A23"/>
    <w:rsid w:val="00786B39"/>
    <w:rsid w:val="0079277E"/>
    <w:rsid w:val="00794C2E"/>
    <w:rsid w:val="007967EF"/>
    <w:rsid w:val="007A1D9C"/>
    <w:rsid w:val="007A268F"/>
    <w:rsid w:val="007B3EE1"/>
    <w:rsid w:val="007C0454"/>
    <w:rsid w:val="007C3309"/>
    <w:rsid w:val="007C4F7F"/>
    <w:rsid w:val="007D07C6"/>
    <w:rsid w:val="007D0B48"/>
    <w:rsid w:val="007D10A5"/>
    <w:rsid w:val="007D1359"/>
    <w:rsid w:val="007D1CF3"/>
    <w:rsid w:val="007D54D0"/>
    <w:rsid w:val="007D7344"/>
    <w:rsid w:val="007E18B6"/>
    <w:rsid w:val="007E1EB8"/>
    <w:rsid w:val="007E3E2A"/>
    <w:rsid w:val="007E582F"/>
    <w:rsid w:val="007F2FC7"/>
    <w:rsid w:val="007F4CDE"/>
    <w:rsid w:val="007F51F8"/>
    <w:rsid w:val="007F6FE9"/>
    <w:rsid w:val="007F7D3A"/>
    <w:rsid w:val="008066D0"/>
    <w:rsid w:val="0081501F"/>
    <w:rsid w:val="008206BA"/>
    <w:rsid w:val="008225F6"/>
    <w:rsid w:val="00822913"/>
    <w:rsid w:val="00822B39"/>
    <w:rsid w:val="00824422"/>
    <w:rsid w:val="00824441"/>
    <w:rsid w:val="00831636"/>
    <w:rsid w:val="00840F45"/>
    <w:rsid w:val="008443D3"/>
    <w:rsid w:val="008501CD"/>
    <w:rsid w:val="008623A6"/>
    <w:rsid w:val="008632BF"/>
    <w:rsid w:val="00865048"/>
    <w:rsid w:val="0086633D"/>
    <w:rsid w:val="008737C1"/>
    <w:rsid w:val="00873F58"/>
    <w:rsid w:val="00881487"/>
    <w:rsid w:val="00882409"/>
    <w:rsid w:val="00885C53"/>
    <w:rsid w:val="008911D1"/>
    <w:rsid w:val="008942EB"/>
    <w:rsid w:val="008A1A52"/>
    <w:rsid w:val="008A26E1"/>
    <w:rsid w:val="008A3343"/>
    <w:rsid w:val="008A5C3E"/>
    <w:rsid w:val="008A7392"/>
    <w:rsid w:val="008B0F06"/>
    <w:rsid w:val="008B2BF1"/>
    <w:rsid w:val="008B2D14"/>
    <w:rsid w:val="008B5973"/>
    <w:rsid w:val="008C0AE2"/>
    <w:rsid w:val="008C172F"/>
    <w:rsid w:val="008C1916"/>
    <w:rsid w:val="008C25EC"/>
    <w:rsid w:val="008C56F8"/>
    <w:rsid w:val="008C5732"/>
    <w:rsid w:val="008C6A1A"/>
    <w:rsid w:val="008D1E03"/>
    <w:rsid w:val="008E1BC9"/>
    <w:rsid w:val="008E3BE7"/>
    <w:rsid w:val="008E4498"/>
    <w:rsid w:val="008E5B60"/>
    <w:rsid w:val="008E5D10"/>
    <w:rsid w:val="008F133E"/>
    <w:rsid w:val="008F13F1"/>
    <w:rsid w:val="008F2E95"/>
    <w:rsid w:val="008F5F8E"/>
    <w:rsid w:val="00900A74"/>
    <w:rsid w:val="00904505"/>
    <w:rsid w:val="00906F7A"/>
    <w:rsid w:val="00910607"/>
    <w:rsid w:val="00910E01"/>
    <w:rsid w:val="00911845"/>
    <w:rsid w:val="0091336D"/>
    <w:rsid w:val="00913636"/>
    <w:rsid w:val="009154A3"/>
    <w:rsid w:val="009154FC"/>
    <w:rsid w:val="00915CF1"/>
    <w:rsid w:val="0091789C"/>
    <w:rsid w:val="00927D26"/>
    <w:rsid w:val="0093282B"/>
    <w:rsid w:val="00934E54"/>
    <w:rsid w:val="009362DA"/>
    <w:rsid w:val="009405EC"/>
    <w:rsid w:val="009448E8"/>
    <w:rsid w:val="00950A23"/>
    <w:rsid w:val="00950B4F"/>
    <w:rsid w:val="00951733"/>
    <w:rsid w:val="00951D49"/>
    <w:rsid w:val="009554C1"/>
    <w:rsid w:val="009555E9"/>
    <w:rsid w:val="009643BB"/>
    <w:rsid w:val="00964DBF"/>
    <w:rsid w:val="00965D6B"/>
    <w:rsid w:val="00966D0F"/>
    <w:rsid w:val="00966F28"/>
    <w:rsid w:val="0096776F"/>
    <w:rsid w:val="009707FE"/>
    <w:rsid w:val="0097157F"/>
    <w:rsid w:val="00972BE7"/>
    <w:rsid w:val="00972D20"/>
    <w:rsid w:val="00973686"/>
    <w:rsid w:val="0097600B"/>
    <w:rsid w:val="00982FD3"/>
    <w:rsid w:val="00993A0F"/>
    <w:rsid w:val="009A07EE"/>
    <w:rsid w:val="009A1D02"/>
    <w:rsid w:val="009A358A"/>
    <w:rsid w:val="009A5475"/>
    <w:rsid w:val="009A7234"/>
    <w:rsid w:val="009A72D5"/>
    <w:rsid w:val="009A7B82"/>
    <w:rsid w:val="009B1601"/>
    <w:rsid w:val="009B6CC9"/>
    <w:rsid w:val="009B796F"/>
    <w:rsid w:val="009B7DD7"/>
    <w:rsid w:val="009C3784"/>
    <w:rsid w:val="009C5313"/>
    <w:rsid w:val="009D3022"/>
    <w:rsid w:val="009D3783"/>
    <w:rsid w:val="009D77BA"/>
    <w:rsid w:val="009D7DDD"/>
    <w:rsid w:val="009E0F9C"/>
    <w:rsid w:val="009E2C34"/>
    <w:rsid w:val="009E37CA"/>
    <w:rsid w:val="009F1E8D"/>
    <w:rsid w:val="009F5136"/>
    <w:rsid w:val="009F5726"/>
    <w:rsid w:val="00A03EF7"/>
    <w:rsid w:val="00A0484A"/>
    <w:rsid w:val="00A0625D"/>
    <w:rsid w:val="00A06F94"/>
    <w:rsid w:val="00A100D0"/>
    <w:rsid w:val="00A109A7"/>
    <w:rsid w:val="00A15118"/>
    <w:rsid w:val="00A16451"/>
    <w:rsid w:val="00A165CF"/>
    <w:rsid w:val="00A1732D"/>
    <w:rsid w:val="00A20153"/>
    <w:rsid w:val="00A21127"/>
    <w:rsid w:val="00A22802"/>
    <w:rsid w:val="00A24850"/>
    <w:rsid w:val="00A26C8A"/>
    <w:rsid w:val="00A27426"/>
    <w:rsid w:val="00A3450F"/>
    <w:rsid w:val="00A3531D"/>
    <w:rsid w:val="00A35CEF"/>
    <w:rsid w:val="00A40607"/>
    <w:rsid w:val="00A4152F"/>
    <w:rsid w:val="00A4515B"/>
    <w:rsid w:val="00A4632F"/>
    <w:rsid w:val="00A47D0B"/>
    <w:rsid w:val="00A52460"/>
    <w:rsid w:val="00A537E2"/>
    <w:rsid w:val="00A5543B"/>
    <w:rsid w:val="00A57272"/>
    <w:rsid w:val="00A62482"/>
    <w:rsid w:val="00A64203"/>
    <w:rsid w:val="00A65489"/>
    <w:rsid w:val="00A65991"/>
    <w:rsid w:val="00A65B22"/>
    <w:rsid w:val="00A721C0"/>
    <w:rsid w:val="00A72FB0"/>
    <w:rsid w:val="00A73F52"/>
    <w:rsid w:val="00A76F57"/>
    <w:rsid w:val="00A81558"/>
    <w:rsid w:val="00A847E3"/>
    <w:rsid w:val="00A95776"/>
    <w:rsid w:val="00AA4F85"/>
    <w:rsid w:val="00AA746B"/>
    <w:rsid w:val="00AB1FFD"/>
    <w:rsid w:val="00AB23CC"/>
    <w:rsid w:val="00AB2ADA"/>
    <w:rsid w:val="00AB4091"/>
    <w:rsid w:val="00AB4FD0"/>
    <w:rsid w:val="00AB55BB"/>
    <w:rsid w:val="00AB7583"/>
    <w:rsid w:val="00AC0373"/>
    <w:rsid w:val="00AC446A"/>
    <w:rsid w:val="00AC5622"/>
    <w:rsid w:val="00AC57BF"/>
    <w:rsid w:val="00AD0451"/>
    <w:rsid w:val="00AD069B"/>
    <w:rsid w:val="00AD675F"/>
    <w:rsid w:val="00AD759A"/>
    <w:rsid w:val="00AD7625"/>
    <w:rsid w:val="00AE551F"/>
    <w:rsid w:val="00AE71D0"/>
    <w:rsid w:val="00AE77D7"/>
    <w:rsid w:val="00AF01D0"/>
    <w:rsid w:val="00AF1445"/>
    <w:rsid w:val="00AF32EC"/>
    <w:rsid w:val="00AF5FE2"/>
    <w:rsid w:val="00AF69E9"/>
    <w:rsid w:val="00AF7007"/>
    <w:rsid w:val="00AF76B5"/>
    <w:rsid w:val="00B00497"/>
    <w:rsid w:val="00B004ED"/>
    <w:rsid w:val="00B00EC5"/>
    <w:rsid w:val="00B120CC"/>
    <w:rsid w:val="00B12491"/>
    <w:rsid w:val="00B12E05"/>
    <w:rsid w:val="00B13684"/>
    <w:rsid w:val="00B21CB4"/>
    <w:rsid w:val="00B222C7"/>
    <w:rsid w:val="00B30CFC"/>
    <w:rsid w:val="00B318DC"/>
    <w:rsid w:val="00B31991"/>
    <w:rsid w:val="00B3262F"/>
    <w:rsid w:val="00B36846"/>
    <w:rsid w:val="00B36E5A"/>
    <w:rsid w:val="00B42AE6"/>
    <w:rsid w:val="00B436F5"/>
    <w:rsid w:val="00B4780F"/>
    <w:rsid w:val="00B5029D"/>
    <w:rsid w:val="00B6076F"/>
    <w:rsid w:val="00B60AB1"/>
    <w:rsid w:val="00B613C1"/>
    <w:rsid w:val="00B635DA"/>
    <w:rsid w:val="00B64ACA"/>
    <w:rsid w:val="00B656B2"/>
    <w:rsid w:val="00B6690F"/>
    <w:rsid w:val="00B67411"/>
    <w:rsid w:val="00B675DC"/>
    <w:rsid w:val="00B677B3"/>
    <w:rsid w:val="00B700E5"/>
    <w:rsid w:val="00B73EF2"/>
    <w:rsid w:val="00B820E9"/>
    <w:rsid w:val="00B86F79"/>
    <w:rsid w:val="00B90E98"/>
    <w:rsid w:val="00B91067"/>
    <w:rsid w:val="00B94773"/>
    <w:rsid w:val="00B963A0"/>
    <w:rsid w:val="00B974E8"/>
    <w:rsid w:val="00B97874"/>
    <w:rsid w:val="00BA13AA"/>
    <w:rsid w:val="00BA2564"/>
    <w:rsid w:val="00BB0D8B"/>
    <w:rsid w:val="00BB140D"/>
    <w:rsid w:val="00BB56AE"/>
    <w:rsid w:val="00BB693C"/>
    <w:rsid w:val="00BB71F0"/>
    <w:rsid w:val="00BC70BA"/>
    <w:rsid w:val="00BD0F91"/>
    <w:rsid w:val="00BD32F3"/>
    <w:rsid w:val="00BD72D1"/>
    <w:rsid w:val="00BE0026"/>
    <w:rsid w:val="00BE135B"/>
    <w:rsid w:val="00BE33EF"/>
    <w:rsid w:val="00BE4CFB"/>
    <w:rsid w:val="00BE60BC"/>
    <w:rsid w:val="00BE6A80"/>
    <w:rsid w:val="00BE7383"/>
    <w:rsid w:val="00BF13EB"/>
    <w:rsid w:val="00BF1495"/>
    <w:rsid w:val="00BF18A9"/>
    <w:rsid w:val="00BF1BC3"/>
    <w:rsid w:val="00BF3F81"/>
    <w:rsid w:val="00C0056D"/>
    <w:rsid w:val="00C026C9"/>
    <w:rsid w:val="00C045F9"/>
    <w:rsid w:val="00C05A97"/>
    <w:rsid w:val="00C074F8"/>
    <w:rsid w:val="00C075EA"/>
    <w:rsid w:val="00C1596B"/>
    <w:rsid w:val="00C26141"/>
    <w:rsid w:val="00C2725D"/>
    <w:rsid w:val="00C27B36"/>
    <w:rsid w:val="00C3244D"/>
    <w:rsid w:val="00C442D8"/>
    <w:rsid w:val="00C450CE"/>
    <w:rsid w:val="00C46AE4"/>
    <w:rsid w:val="00C4740D"/>
    <w:rsid w:val="00C52558"/>
    <w:rsid w:val="00C536ED"/>
    <w:rsid w:val="00C56704"/>
    <w:rsid w:val="00C62C28"/>
    <w:rsid w:val="00C63E40"/>
    <w:rsid w:val="00C64808"/>
    <w:rsid w:val="00C666A0"/>
    <w:rsid w:val="00C6769F"/>
    <w:rsid w:val="00C7623B"/>
    <w:rsid w:val="00C76775"/>
    <w:rsid w:val="00C804B1"/>
    <w:rsid w:val="00C87B45"/>
    <w:rsid w:val="00C9201F"/>
    <w:rsid w:val="00C94F5C"/>
    <w:rsid w:val="00C95E2A"/>
    <w:rsid w:val="00C96714"/>
    <w:rsid w:val="00C96A17"/>
    <w:rsid w:val="00CA038B"/>
    <w:rsid w:val="00CA04A6"/>
    <w:rsid w:val="00CA4566"/>
    <w:rsid w:val="00CA48AC"/>
    <w:rsid w:val="00CB00E7"/>
    <w:rsid w:val="00CB1518"/>
    <w:rsid w:val="00CB216B"/>
    <w:rsid w:val="00CB382D"/>
    <w:rsid w:val="00CB4413"/>
    <w:rsid w:val="00CB4592"/>
    <w:rsid w:val="00CB4AC4"/>
    <w:rsid w:val="00CB4E0F"/>
    <w:rsid w:val="00CB5394"/>
    <w:rsid w:val="00CC00EA"/>
    <w:rsid w:val="00CC09A0"/>
    <w:rsid w:val="00CC3563"/>
    <w:rsid w:val="00CD35E1"/>
    <w:rsid w:val="00CD3C1B"/>
    <w:rsid w:val="00CD4DDF"/>
    <w:rsid w:val="00CD55A2"/>
    <w:rsid w:val="00CD5C43"/>
    <w:rsid w:val="00CD70F6"/>
    <w:rsid w:val="00CD7571"/>
    <w:rsid w:val="00CE0F4A"/>
    <w:rsid w:val="00CE0FFA"/>
    <w:rsid w:val="00CE5318"/>
    <w:rsid w:val="00CE649C"/>
    <w:rsid w:val="00CE6C0F"/>
    <w:rsid w:val="00CF1B78"/>
    <w:rsid w:val="00CF233F"/>
    <w:rsid w:val="00CF3B11"/>
    <w:rsid w:val="00CF6459"/>
    <w:rsid w:val="00D01F03"/>
    <w:rsid w:val="00D04B20"/>
    <w:rsid w:val="00D123AA"/>
    <w:rsid w:val="00D12B9A"/>
    <w:rsid w:val="00D141F8"/>
    <w:rsid w:val="00D14BBA"/>
    <w:rsid w:val="00D14D13"/>
    <w:rsid w:val="00D15767"/>
    <w:rsid w:val="00D159B2"/>
    <w:rsid w:val="00D16464"/>
    <w:rsid w:val="00D23F68"/>
    <w:rsid w:val="00D34077"/>
    <w:rsid w:val="00D476C0"/>
    <w:rsid w:val="00D5072E"/>
    <w:rsid w:val="00D531F1"/>
    <w:rsid w:val="00D5386C"/>
    <w:rsid w:val="00D54842"/>
    <w:rsid w:val="00D5668A"/>
    <w:rsid w:val="00D61B33"/>
    <w:rsid w:val="00D628FC"/>
    <w:rsid w:val="00D6298E"/>
    <w:rsid w:val="00D64104"/>
    <w:rsid w:val="00D6446A"/>
    <w:rsid w:val="00D652B3"/>
    <w:rsid w:val="00D656ED"/>
    <w:rsid w:val="00D70223"/>
    <w:rsid w:val="00D753FC"/>
    <w:rsid w:val="00D75602"/>
    <w:rsid w:val="00D75DD9"/>
    <w:rsid w:val="00D76C88"/>
    <w:rsid w:val="00D770B0"/>
    <w:rsid w:val="00D8189E"/>
    <w:rsid w:val="00D83799"/>
    <w:rsid w:val="00D87DBC"/>
    <w:rsid w:val="00D91C3B"/>
    <w:rsid w:val="00D94C24"/>
    <w:rsid w:val="00DA46C0"/>
    <w:rsid w:val="00DA7C5D"/>
    <w:rsid w:val="00DB263B"/>
    <w:rsid w:val="00DB4751"/>
    <w:rsid w:val="00DB6392"/>
    <w:rsid w:val="00DB6B2D"/>
    <w:rsid w:val="00DC00DE"/>
    <w:rsid w:val="00DC1238"/>
    <w:rsid w:val="00DC461C"/>
    <w:rsid w:val="00DC6BDA"/>
    <w:rsid w:val="00DD4241"/>
    <w:rsid w:val="00DD47B1"/>
    <w:rsid w:val="00DD7741"/>
    <w:rsid w:val="00DD7DC4"/>
    <w:rsid w:val="00DE05DA"/>
    <w:rsid w:val="00DE188D"/>
    <w:rsid w:val="00DE2677"/>
    <w:rsid w:val="00DE4737"/>
    <w:rsid w:val="00DF1712"/>
    <w:rsid w:val="00DF31B2"/>
    <w:rsid w:val="00DF4120"/>
    <w:rsid w:val="00DF7F75"/>
    <w:rsid w:val="00E029BE"/>
    <w:rsid w:val="00E03688"/>
    <w:rsid w:val="00E05B35"/>
    <w:rsid w:val="00E12072"/>
    <w:rsid w:val="00E12DEA"/>
    <w:rsid w:val="00E1556A"/>
    <w:rsid w:val="00E16DDD"/>
    <w:rsid w:val="00E1777E"/>
    <w:rsid w:val="00E201BD"/>
    <w:rsid w:val="00E210AF"/>
    <w:rsid w:val="00E23AD4"/>
    <w:rsid w:val="00E258E9"/>
    <w:rsid w:val="00E25DDC"/>
    <w:rsid w:val="00E266CD"/>
    <w:rsid w:val="00E266DB"/>
    <w:rsid w:val="00E2788A"/>
    <w:rsid w:val="00E27C78"/>
    <w:rsid w:val="00E30426"/>
    <w:rsid w:val="00E30C84"/>
    <w:rsid w:val="00E325E1"/>
    <w:rsid w:val="00E331CC"/>
    <w:rsid w:val="00E35A90"/>
    <w:rsid w:val="00E37340"/>
    <w:rsid w:val="00E42D73"/>
    <w:rsid w:val="00E45470"/>
    <w:rsid w:val="00E4686F"/>
    <w:rsid w:val="00E50DD7"/>
    <w:rsid w:val="00E522C2"/>
    <w:rsid w:val="00E5642B"/>
    <w:rsid w:val="00E60534"/>
    <w:rsid w:val="00E617CE"/>
    <w:rsid w:val="00E61CC7"/>
    <w:rsid w:val="00E62B99"/>
    <w:rsid w:val="00E70B10"/>
    <w:rsid w:val="00E71273"/>
    <w:rsid w:val="00E71A76"/>
    <w:rsid w:val="00E72744"/>
    <w:rsid w:val="00E7404D"/>
    <w:rsid w:val="00E741A5"/>
    <w:rsid w:val="00E75449"/>
    <w:rsid w:val="00E75F3F"/>
    <w:rsid w:val="00E816EF"/>
    <w:rsid w:val="00E849D7"/>
    <w:rsid w:val="00EB50F7"/>
    <w:rsid w:val="00EB5A2F"/>
    <w:rsid w:val="00EB61A2"/>
    <w:rsid w:val="00EC061E"/>
    <w:rsid w:val="00EC1843"/>
    <w:rsid w:val="00EC44AF"/>
    <w:rsid w:val="00ED4637"/>
    <w:rsid w:val="00ED485C"/>
    <w:rsid w:val="00ED5FE4"/>
    <w:rsid w:val="00ED7DB2"/>
    <w:rsid w:val="00EE20AB"/>
    <w:rsid w:val="00EE3D67"/>
    <w:rsid w:val="00EF0131"/>
    <w:rsid w:val="00EF3176"/>
    <w:rsid w:val="00EF65E8"/>
    <w:rsid w:val="00EF6667"/>
    <w:rsid w:val="00F00B9B"/>
    <w:rsid w:val="00F019FE"/>
    <w:rsid w:val="00F05780"/>
    <w:rsid w:val="00F059CE"/>
    <w:rsid w:val="00F06AA7"/>
    <w:rsid w:val="00F10855"/>
    <w:rsid w:val="00F130A9"/>
    <w:rsid w:val="00F156DF"/>
    <w:rsid w:val="00F15D8A"/>
    <w:rsid w:val="00F20731"/>
    <w:rsid w:val="00F2684A"/>
    <w:rsid w:val="00F30B2E"/>
    <w:rsid w:val="00F329AF"/>
    <w:rsid w:val="00F33C68"/>
    <w:rsid w:val="00F36C08"/>
    <w:rsid w:val="00F37DE2"/>
    <w:rsid w:val="00F4095E"/>
    <w:rsid w:val="00F43246"/>
    <w:rsid w:val="00F4471A"/>
    <w:rsid w:val="00F459D3"/>
    <w:rsid w:val="00F4617B"/>
    <w:rsid w:val="00F46370"/>
    <w:rsid w:val="00F50F30"/>
    <w:rsid w:val="00F55C1A"/>
    <w:rsid w:val="00F575D3"/>
    <w:rsid w:val="00F57A50"/>
    <w:rsid w:val="00F60A36"/>
    <w:rsid w:val="00F62E5B"/>
    <w:rsid w:val="00F64E67"/>
    <w:rsid w:val="00F65A40"/>
    <w:rsid w:val="00F65B68"/>
    <w:rsid w:val="00F65BBD"/>
    <w:rsid w:val="00F7038A"/>
    <w:rsid w:val="00F73B13"/>
    <w:rsid w:val="00F77093"/>
    <w:rsid w:val="00F81950"/>
    <w:rsid w:val="00F840CD"/>
    <w:rsid w:val="00F85DDC"/>
    <w:rsid w:val="00F8711D"/>
    <w:rsid w:val="00F92BA6"/>
    <w:rsid w:val="00F95B3D"/>
    <w:rsid w:val="00F95D56"/>
    <w:rsid w:val="00F97553"/>
    <w:rsid w:val="00FA0101"/>
    <w:rsid w:val="00FA0ADC"/>
    <w:rsid w:val="00FA2C95"/>
    <w:rsid w:val="00FB0BA1"/>
    <w:rsid w:val="00FB1A80"/>
    <w:rsid w:val="00FB2125"/>
    <w:rsid w:val="00FB64BE"/>
    <w:rsid w:val="00FB6ECB"/>
    <w:rsid w:val="00FB7E4A"/>
    <w:rsid w:val="00FC073D"/>
    <w:rsid w:val="00FC22F2"/>
    <w:rsid w:val="00FC2D18"/>
    <w:rsid w:val="00FC3ADF"/>
    <w:rsid w:val="00FC6E80"/>
    <w:rsid w:val="00FD1220"/>
    <w:rsid w:val="00FD1618"/>
    <w:rsid w:val="00FD1846"/>
    <w:rsid w:val="00FD3229"/>
    <w:rsid w:val="00FD367E"/>
    <w:rsid w:val="00FD63A3"/>
    <w:rsid w:val="00FE1AEB"/>
    <w:rsid w:val="00FE223E"/>
    <w:rsid w:val="00FE3D22"/>
    <w:rsid w:val="00FE777B"/>
    <w:rsid w:val="00FE7F59"/>
    <w:rsid w:val="00FF1114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  <w:style w:type="paragraph" w:styleId="ab">
    <w:name w:val="footnote text"/>
    <w:basedOn w:val="a"/>
    <w:link w:val="ac"/>
    <w:rsid w:val="00FB6ECB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B6ECB"/>
  </w:style>
  <w:style w:type="character" w:styleId="ad">
    <w:name w:val="footnote reference"/>
    <w:rsid w:val="00FB6ECB"/>
    <w:rPr>
      <w:vertAlign w:val="superscript"/>
    </w:rPr>
  </w:style>
  <w:style w:type="paragraph" w:styleId="ae">
    <w:name w:val="endnote text"/>
    <w:basedOn w:val="a"/>
    <w:link w:val="af"/>
    <w:rsid w:val="004C66A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4C66A4"/>
  </w:style>
  <w:style w:type="character" w:styleId="af0">
    <w:name w:val="endnote reference"/>
    <w:basedOn w:val="a0"/>
    <w:rsid w:val="004C66A4"/>
    <w:rPr>
      <w:vertAlign w:val="superscript"/>
    </w:rPr>
  </w:style>
  <w:style w:type="paragraph" w:styleId="af1">
    <w:name w:val="List Paragraph"/>
    <w:basedOn w:val="a"/>
    <w:uiPriority w:val="34"/>
    <w:qFormat/>
    <w:rsid w:val="00A03EF7"/>
    <w:pPr>
      <w:ind w:left="720"/>
      <w:contextualSpacing/>
    </w:pPr>
  </w:style>
  <w:style w:type="character" w:styleId="af2">
    <w:name w:val="annotation reference"/>
    <w:basedOn w:val="a0"/>
    <w:rsid w:val="00C94F5C"/>
    <w:rPr>
      <w:sz w:val="16"/>
      <w:szCs w:val="16"/>
    </w:rPr>
  </w:style>
  <w:style w:type="paragraph" w:styleId="af3">
    <w:name w:val="annotation text"/>
    <w:basedOn w:val="a"/>
    <w:link w:val="af4"/>
    <w:rsid w:val="00C94F5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94F5C"/>
  </w:style>
  <w:style w:type="paragraph" w:styleId="af5">
    <w:name w:val="annotation subject"/>
    <w:basedOn w:val="af3"/>
    <w:next w:val="af3"/>
    <w:link w:val="af6"/>
    <w:rsid w:val="00C94F5C"/>
    <w:rPr>
      <w:b/>
      <w:bCs/>
    </w:rPr>
  </w:style>
  <w:style w:type="character" w:customStyle="1" w:styleId="af6">
    <w:name w:val="Тема примечания Знак"/>
    <w:basedOn w:val="af4"/>
    <w:link w:val="af5"/>
    <w:rsid w:val="00C94F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  <w:style w:type="paragraph" w:styleId="ab">
    <w:name w:val="footnote text"/>
    <w:basedOn w:val="a"/>
    <w:link w:val="ac"/>
    <w:rsid w:val="00FB6ECB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B6ECB"/>
  </w:style>
  <w:style w:type="character" w:styleId="ad">
    <w:name w:val="footnote reference"/>
    <w:rsid w:val="00FB6ECB"/>
    <w:rPr>
      <w:vertAlign w:val="superscript"/>
    </w:rPr>
  </w:style>
  <w:style w:type="paragraph" w:styleId="ae">
    <w:name w:val="endnote text"/>
    <w:basedOn w:val="a"/>
    <w:link w:val="af"/>
    <w:rsid w:val="004C66A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4C66A4"/>
  </w:style>
  <w:style w:type="character" w:styleId="af0">
    <w:name w:val="endnote reference"/>
    <w:basedOn w:val="a0"/>
    <w:rsid w:val="004C66A4"/>
    <w:rPr>
      <w:vertAlign w:val="superscript"/>
    </w:rPr>
  </w:style>
  <w:style w:type="paragraph" w:styleId="af1">
    <w:name w:val="List Paragraph"/>
    <w:basedOn w:val="a"/>
    <w:uiPriority w:val="34"/>
    <w:qFormat/>
    <w:rsid w:val="00A03EF7"/>
    <w:pPr>
      <w:ind w:left="720"/>
      <w:contextualSpacing/>
    </w:pPr>
  </w:style>
  <w:style w:type="character" w:styleId="af2">
    <w:name w:val="annotation reference"/>
    <w:basedOn w:val="a0"/>
    <w:rsid w:val="00C94F5C"/>
    <w:rPr>
      <w:sz w:val="16"/>
      <w:szCs w:val="16"/>
    </w:rPr>
  </w:style>
  <w:style w:type="paragraph" w:styleId="af3">
    <w:name w:val="annotation text"/>
    <w:basedOn w:val="a"/>
    <w:link w:val="af4"/>
    <w:rsid w:val="00C94F5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94F5C"/>
  </w:style>
  <w:style w:type="paragraph" w:styleId="af5">
    <w:name w:val="annotation subject"/>
    <w:basedOn w:val="af3"/>
    <w:next w:val="af3"/>
    <w:link w:val="af6"/>
    <w:rsid w:val="00C94F5C"/>
    <w:rPr>
      <w:b/>
      <w:bCs/>
    </w:rPr>
  </w:style>
  <w:style w:type="character" w:customStyle="1" w:styleId="af6">
    <w:name w:val="Тема примечания Знак"/>
    <w:basedOn w:val="af4"/>
    <w:link w:val="af5"/>
    <w:rsid w:val="00C94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039D-ACC4-431A-B60E-3FE24C59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622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Финуправление</Company>
  <LinksUpToDate>false</LinksUpToDate>
  <CharactersWithSpaces>5001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ArRUNU1</dc:creator>
  <cp:lastModifiedBy>Карпова Е.А</cp:lastModifiedBy>
  <cp:revision>22</cp:revision>
  <cp:lastPrinted>2021-04-21T07:28:00Z</cp:lastPrinted>
  <dcterms:created xsi:type="dcterms:W3CDTF">2022-08-18T05:09:00Z</dcterms:created>
  <dcterms:modified xsi:type="dcterms:W3CDTF">2022-09-06T10:00:00Z</dcterms:modified>
</cp:coreProperties>
</file>